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6F0B9"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23F8CFCD" wp14:editId="1B48B38E">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DA0F3" w14:textId="77777777" w:rsidR="00035FB4" w:rsidRDefault="00035FB4">
      <w:pPr>
        <w:rPr>
          <w:rFonts w:ascii="Arial" w:hAnsi="Arial" w:cs="Arial"/>
          <w:sz w:val="24"/>
        </w:rPr>
      </w:pPr>
    </w:p>
    <w:p w14:paraId="23348FE0" w14:textId="77777777" w:rsidR="00035FB4" w:rsidRDefault="00035FB4">
      <w:pPr>
        <w:rPr>
          <w:rFonts w:ascii="Arial" w:hAnsi="Arial" w:cs="Arial"/>
          <w:sz w:val="24"/>
        </w:rPr>
      </w:pPr>
    </w:p>
    <w:p w14:paraId="3280591F" w14:textId="77777777" w:rsidR="00035FB4" w:rsidRDefault="00035FB4">
      <w:pPr>
        <w:rPr>
          <w:rFonts w:ascii="Arial" w:hAnsi="Arial" w:cs="Arial"/>
          <w:sz w:val="24"/>
        </w:rPr>
      </w:pPr>
    </w:p>
    <w:p w14:paraId="00E7BE73" w14:textId="77777777" w:rsidR="00C3710F" w:rsidRDefault="00C3710F">
      <w:pPr>
        <w:rPr>
          <w:rFonts w:ascii="Arial" w:hAnsi="Arial" w:cs="Arial"/>
          <w:sz w:val="24"/>
        </w:rPr>
      </w:pPr>
    </w:p>
    <w:p w14:paraId="3B2578AB" w14:textId="77777777" w:rsidR="003B3295" w:rsidRPr="00A6394A" w:rsidRDefault="003B3295" w:rsidP="003B3295">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27931EB3" w14:textId="77777777" w:rsidR="003B3295" w:rsidRPr="00A6394A" w:rsidRDefault="003B3295" w:rsidP="003B3295">
      <w:pPr>
        <w:spacing w:line="276" w:lineRule="auto"/>
        <w:rPr>
          <w:rFonts w:ascii="Arial" w:hAnsi="Arial" w:cs="Arial"/>
          <w:b/>
          <w:sz w:val="24"/>
          <w:szCs w:val="24"/>
        </w:rPr>
      </w:pPr>
    </w:p>
    <w:p w14:paraId="520D860E" w14:textId="07C253D3" w:rsidR="003B3295" w:rsidRPr="00A6394A" w:rsidRDefault="003B3295" w:rsidP="003B3295">
      <w:pPr>
        <w:spacing w:line="276" w:lineRule="auto"/>
        <w:ind w:firstLine="720"/>
        <w:jc w:val="right"/>
        <w:rPr>
          <w:rFonts w:ascii="Arial" w:hAnsi="Arial" w:cs="Arial"/>
          <w:b/>
          <w:sz w:val="24"/>
          <w:szCs w:val="24"/>
        </w:rPr>
      </w:pPr>
      <w:r w:rsidRPr="00A6394A">
        <w:rPr>
          <w:rFonts w:ascii="Arial" w:hAnsi="Arial" w:cs="Arial"/>
          <w:b/>
          <w:sz w:val="24"/>
          <w:szCs w:val="24"/>
        </w:rPr>
        <w:t xml:space="preserve">Matter </w:t>
      </w:r>
      <w:r w:rsidR="00C66932">
        <w:rPr>
          <w:rFonts w:ascii="Arial" w:hAnsi="Arial" w:cs="Arial"/>
          <w:b/>
          <w:sz w:val="24"/>
          <w:szCs w:val="24"/>
        </w:rPr>
        <w:t>1</w:t>
      </w:r>
    </w:p>
    <w:p w14:paraId="6BDC966F" w14:textId="77777777" w:rsidR="003B3295" w:rsidRDefault="003B3295" w:rsidP="003B3295">
      <w:pPr>
        <w:spacing w:line="360" w:lineRule="auto"/>
        <w:jc w:val="both"/>
        <w:rPr>
          <w:rFonts w:asciiTheme="minorHAnsi" w:hAnsiTheme="minorHAnsi" w:cstheme="minorHAnsi"/>
          <w:sz w:val="22"/>
          <w:szCs w:val="22"/>
        </w:rPr>
      </w:pPr>
    </w:p>
    <w:p w14:paraId="3DBF74DE" w14:textId="77777777" w:rsidR="007A58BF" w:rsidRDefault="007A58BF" w:rsidP="00E61D11">
      <w:pPr>
        <w:spacing w:line="360" w:lineRule="auto"/>
        <w:jc w:val="both"/>
        <w:rPr>
          <w:rFonts w:asciiTheme="minorHAnsi" w:hAnsiTheme="minorHAnsi" w:cstheme="minorHAnsi"/>
          <w:b/>
          <w:bCs/>
          <w:sz w:val="22"/>
          <w:szCs w:val="22"/>
        </w:rPr>
      </w:pPr>
    </w:p>
    <w:p w14:paraId="32A827CE" w14:textId="77777777" w:rsidR="007A58BF" w:rsidRPr="007A58BF" w:rsidRDefault="007A58BF" w:rsidP="007A58BF">
      <w:pPr>
        <w:spacing w:line="360" w:lineRule="auto"/>
        <w:jc w:val="both"/>
        <w:rPr>
          <w:rFonts w:asciiTheme="minorHAnsi" w:hAnsiTheme="minorHAnsi" w:cstheme="minorHAnsi"/>
          <w:b/>
          <w:bCs/>
          <w:sz w:val="22"/>
          <w:szCs w:val="22"/>
        </w:rPr>
      </w:pPr>
      <w:r w:rsidRPr="007A58BF">
        <w:rPr>
          <w:rFonts w:asciiTheme="minorHAnsi" w:hAnsiTheme="minorHAnsi" w:cstheme="minorHAnsi"/>
          <w:b/>
          <w:bCs/>
          <w:sz w:val="22"/>
          <w:szCs w:val="22"/>
        </w:rPr>
        <w:t>Matter 1: Procedural/legal requirements</w:t>
      </w:r>
    </w:p>
    <w:p w14:paraId="42663212" w14:textId="77777777" w:rsidR="00CA121E" w:rsidRDefault="00CA121E" w:rsidP="007A58BF">
      <w:pPr>
        <w:spacing w:line="360" w:lineRule="auto"/>
        <w:jc w:val="both"/>
        <w:rPr>
          <w:rFonts w:asciiTheme="minorHAnsi" w:hAnsiTheme="minorHAnsi" w:cstheme="minorHAnsi"/>
          <w:b/>
          <w:bCs/>
          <w:sz w:val="22"/>
          <w:szCs w:val="22"/>
        </w:rPr>
      </w:pPr>
    </w:p>
    <w:p w14:paraId="780BD4E9" w14:textId="3B979CC6" w:rsidR="007A58BF" w:rsidRPr="007A58BF" w:rsidRDefault="007A58BF" w:rsidP="007A58BF">
      <w:pPr>
        <w:spacing w:line="360" w:lineRule="auto"/>
        <w:jc w:val="both"/>
        <w:rPr>
          <w:rFonts w:asciiTheme="minorHAnsi" w:hAnsiTheme="minorHAnsi" w:cstheme="minorHAnsi"/>
          <w:b/>
          <w:bCs/>
          <w:sz w:val="22"/>
          <w:szCs w:val="22"/>
        </w:rPr>
      </w:pPr>
      <w:r w:rsidRPr="007A58BF">
        <w:rPr>
          <w:rFonts w:asciiTheme="minorHAnsi" w:hAnsiTheme="minorHAnsi" w:cstheme="minorHAnsi"/>
          <w:b/>
          <w:bCs/>
          <w:sz w:val="22"/>
          <w:szCs w:val="22"/>
        </w:rPr>
        <w:t>Issue: Whether all Statutory and Regulatory requirements have been met?</w:t>
      </w:r>
    </w:p>
    <w:p w14:paraId="1B7DE845" w14:textId="77777777" w:rsidR="00CA121E" w:rsidRDefault="00CA121E" w:rsidP="007A58BF">
      <w:pPr>
        <w:spacing w:line="360" w:lineRule="auto"/>
        <w:jc w:val="both"/>
        <w:rPr>
          <w:rFonts w:asciiTheme="minorHAnsi" w:hAnsiTheme="minorHAnsi" w:cstheme="minorHAnsi"/>
          <w:b/>
          <w:bCs/>
          <w:sz w:val="22"/>
          <w:szCs w:val="22"/>
        </w:rPr>
      </w:pPr>
    </w:p>
    <w:p w14:paraId="78F3EEFE" w14:textId="42ADAACA" w:rsidR="007A58BF" w:rsidRPr="007A58BF" w:rsidRDefault="007A58BF" w:rsidP="007A58BF">
      <w:pPr>
        <w:spacing w:line="360" w:lineRule="auto"/>
        <w:jc w:val="both"/>
        <w:rPr>
          <w:rFonts w:asciiTheme="minorHAnsi" w:hAnsiTheme="minorHAnsi" w:cstheme="minorHAnsi"/>
          <w:b/>
          <w:bCs/>
          <w:sz w:val="22"/>
          <w:szCs w:val="22"/>
        </w:rPr>
      </w:pPr>
      <w:r w:rsidRPr="007A58BF">
        <w:rPr>
          <w:rFonts w:asciiTheme="minorHAnsi" w:hAnsiTheme="minorHAnsi" w:cstheme="minorHAnsi"/>
          <w:b/>
          <w:bCs/>
          <w:sz w:val="22"/>
          <w:szCs w:val="22"/>
        </w:rPr>
        <w:t>Duty to Cooperate</w:t>
      </w:r>
    </w:p>
    <w:p w14:paraId="7F535959" w14:textId="77777777" w:rsidR="00CA121E" w:rsidRDefault="00CA121E" w:rsidP="007A58BF">
      <w:pPr>
        <w:spacing w:line="360" w:lineRule="auto"/>
        <w:jc w:val="both"/>
        <w:rPr>
          <w:rFonts w:asciiTheme="minorHAnsi" w:hAnsiTheme="minorHAnsi" w:cstheme="minorHAnsi"/>
          <w:i/>
          <w:iCs/>
          <w:sz w:val="22"/>
          <w:szCs w:val="22"/>
          <w:u w:val="single"/>
        </w:rPr>
      </w:pPr>
    </w:p>
    <w:p w14:paraId="3219D4CB" w14:textId="48444D39" w:rsidR="007A58BF" w:rsidRPr="00CA121E" w:rsidRDefault="007A58BF" w:rsidP="00F96A66">
      <w:pPr>
        <w:spacing w:line="360" w:lineRule="auto"/>
        <w:jc w:val="both"/>
        <w:rPr>
          <w:rFonts w:asciiTheme="minorHAnsi" w:hAnsiTheme="minorHAnsi" w:cstheme="minorHAnsi"/>
          <w:i/>
          <w:iCs/>
          <w:sz w:val="22"/>
          <w:szCs w:val="22"/>
          <w:u w:val="single"/>
        </w:rPr>
      </w:pPr>
      <w:r w:rsidRPr="00CA121E">
        <w:rPr>
          <w:rFonts w:asciiTheme="minorHAnsi" w:hAnsiTheme="minorHAnsi" w:cstheme="minorHAnsi"/>
          <w:i/>
          <w:iCs/>
          <w:sz w:val="22"/>
          <w:szCs w:val="22"/>
          <w:u w:val="single"/>
        </w:rPr>
        <w:t>Q.1</w:t>
      </w:r>
      <w:r w:rsidR="004A788A" w:rsidRPr="00CA121E">
        <w:rPr>
          <w:rFonts w:asciiTheme="minorHAnsi" w:hAnsiTheme="minorHAnsi" w:cstheme="minorHAnsi"/>
          <w:i/>
          <w:iCs/>
          <w:sz w:val="22"/>
          <w:szCs w:val="22"/>
          <w:u w:val="single"/>
        </w:rPr>
        <w:t>.</w:t>
      </w:r>
      <w:r w:rsidRPr="00CA121E">
        <w:rPr>
          <w:rFonts w:asciiTheme="minorHAnsi" w:hAnsiTheme="minorHAnsi" w:cstheme="minorHAnsi"/>
          <w:i/>
          <w:iCs/>
          <w:sz w:val="22"/>
          <w:szCs w:val="22"/>
          <w:u w:val="single"/>
        </w:rPr>
        <w:t xml:space="preserve"> Is there</w:t>
      </w:r>
      <w:r w:rsidR="004A788A" w:rsidRPr="00CA121E">
        <w:rPr>
          <w:rFonts w:asciiTheme="minorHAnsi" w:hAnsiTheme="minorHAnsi" w:cstheme="minorHAnsi"/>
          <w:i/>
          <w:iCs/>
          <w:sz w:val="22"/>
          <w:szCs w:val="22"/>
          <w:u w:val="single"/>
        </w:rPr>
        <w:t xml:space="preserve"> </w:t>
      </w:r>
      <w:r w:rsidRPr="00CA121E">
        <w:rPr>
          <w:rFonts w:asciiTheme="minorHAnsi" w:hAnsiTheme="minorHAnsi" w:cstheme="minorHAnsi"/>
          <w:i/>
          <w:iCs/>
          <w:sz w:val="22"/>
          <w:szCs w:val="22"/>
          <w:u w:val="single"/>
        </w:rPr>
        <w:t>clear evidence that the Council has engaged constructively, actively and on an ongoing basis with neighbouring authorities and prescribed bodies in accordance with section 33A of the 2004 Act in respect of strategic matters with cross-boundary impacts considered through the preparation of the Plan?</w:t>
      </w:r>
    </w:p>
    <w:p w14:paraId="764CFA8C" w14:textId="77777777" w:rsidR="007A58BF" w:rsidRPr="004A788A" w:rsidRDefault="007A58BF" w:rsidP="00F96A66">
      <w:pPr>
        <w:spacing w:line="360" w:lineRule="auto"/>
        <w:jc w:val="both"/>
        <w:rPr>
          <w:rFonts w:asciiTheme="minorHAnsi" w:hAnsiTheme="minorHAnsi" w:cstheme="minorHAnsi"/>
          <w:sz w:val="22"/>
          <w:szCs w:val="22"/>
        </w:rPr>
      </w:pPr>
    </w:p>
    <w:p w14:paraId="2D15F023" w14:textId="3A77CE79" w:rsidR="004A788A" w:rsidRPr="004A788A" w:rsidRDefault="00506AE1" w:rsidP="00F96A66">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HBF do not </w:t>
      </w:r>
      <w:r w:rsidR="006602FE">
        <w:rPr>
          <w:rFonts w:asciiTheme="minorHAnsi" w:hAnsiTheme="minorHAnsi" w:cstheme="minorHAnsi"/>
          <w:sz w:val="22"/>
          <w:szCs w:val="22"/>
        </w:rPr>
        <w:t xml:space="preserve">dispute that the Council has engaged with </w:t>
      </w:r>
      <w:r w:rsidR="00980D4A">
        <w:rPr>
          <w:rFonts w:asciiTheme="minorHAnsi" w:hAnsiTheme="minorHAnsi" w:cstheme="minorHAnsi"/>
          <w:sz w:val="22"/>
          <w:szCs w:val="22"/>
        </w:rPr>
        <w:t>neighbouring authorities and prescribed bodies in accordance with section 33A of the 2004 Act. Our main concern is that</w:t>
      </w:r>
      <w:r w:rsidR="009F0ECE">
        <w:rPr>
          <w:rFonts w:asciiTheme="minorHAnsi" w:hAnsiTheme="minorHAnsi" w:cstheme="minorHAnsi"/>
          <w:sz w:val="22"/>
          <w:szCs w:val="22"/>
        </w:rPr>
        <w:t xml:space="preserve"> the outcomes of this co-operation do not appear to have informed </w:t>
      </w:r>
      <w:r w:rsidR="007D5692">
        <w:rPr>
          <w:rFonts w:asciiTheme="minorHAnsi" w:hAnsiTheme="minorHAnsi" w:cstheme="minorHAnsi"/>
          <w:sz w:val="22"/>
          <w:szCs w:val="22"/>
        </w:rPr>
        <w:t>plan making and the decision not to meet housing needs in full. The shortfall in</w:t>
      </w:r>
      <w:r w:rsidR="00A9790F">
        <w:rPr>
          <w:rFonts w:asciiTheme="minorHAnsi" w:hAnsiTheme="minorHAnsi" w:cstheme="minorHAnsi"/>
          <w:sz w:val="22"/>
          <w:szCs w:val="22"/>
        </w:rPr>
        <w:t xml:space="preserve"> housing </w:t>
      </w:r>
      <w:r w:rsidR="001E55C5">
        <w:rPr>
          <w:rFonts w:asciiTheme="minorHAnsi" w:hAnsiTheme="minorHAnsi" w:cstheme="minorHAnsi"/>
          <w:sz w:val="22"/>
          <w:szCs w:val="22"/>
        </w:rPr>
        <w:t>needs</w:t>
      </w:r>
      <w:r w:rsidR="00A9790F">
        <w:rPr>
          <w:rFonts w:asciiTheme="minorHAnsi" w:hAnsiTheme="minorHAnsi" w:cstheme="minorHAnsi"/>
          <w:sz w:val="22"/>
          <w:szCs w:val="22"/>
        </w:rPr>
        <w:t xml:space="preserve"> across West Sussex is </w:t>
      </w:r>
      <w:r w:rsidR="0061076B">
        <w:rPr>
          <w:rFonts w:asciiTheme="minorHAnsi" w:hAnsiTheme="minorHAnsi" w:cstheme="minorHAnsi"/>
          <w:sz w:val="22"/>
          <w:szCs w:val="22"/>
        </w:rPr>
        <w:t>significant</w:t>
      </w:r>
      <w:r w:rsidR="00A9790F">
        <w:rPr>
          <w:rFonts w:asciiTheme="minorHAnsi" w:hAnsiTheme="minorHAnsi" w:cstheme="minorHAnsi"/>
          <w:sz w:val="22"/>
          <w:szCs w:val="22"/>
        </w:rPr>
        <w:t xml:space="preserve"> with both Horsha</w:t>
      </w:r>
      <w:r w:rsidR="006E1497">
        <w:rPr>
          <w:rFonts w:asciiTheme="minorHAnsi" w:hAnsiTheme="minorHAnsi" w:cstheme="minorHAnsi"/>
          <w:sz w:val="22"/>
          <w:szCs w:val="22"/>
        </w:rPr>
        <w:t xml:space="preserve">m’s submitted plan falling short of meeting needs by 2,250 homes and </w:t>
      </w:r>
      <w:r w:rsidR="0061076B">
        <w:rPr>
          <w:rFonts w:asciiTheme="minorHAnsi" w:hAnsiTheme="minorHAnsi" w:cstheme="minorHAnsi"/>
          <w:sz w:val="22"/>
          <w:szCs w:val="22"/>
        </w:rPr>
        <w:t>Worthing’s</w:t>
      </w:r>
      <w:r w:rsidR="006E1497">
        <w:rPr>
          <w:rFonts w:asciiTheme="minorHAnsi" w:hAnsiTheme="minorHAnsi" w:cstheme="minorHAnsi"/>
          <w:sz w:val="22"/>
          <w:szCs w:val="22"/>
        </w:rPr>
        <w:t xml:space="preserve"> </w:t>
      </w:r>
      <w:r w:rsidR="0061076B">
        <w:rPr>
          <w:rFonts w:asciiTheme="minorHAnsi" w:hAnsiTheme="minorHAnsi" w:cstheme="minorHAnsi"/>
          <w:sz w:val="22"/>
          <w:szCs w:val="22"/>
        </w:rPr>
        <w:t xml:space="preserve">local plan being adopted with a shortfall in excess of 10,000 homes. Alongside this Havant </w:t>
      </w:r>
      <w:r w:rsidR="007C1497">
        <w:rPr>
          <w:rFonts w:asciiTheme="minorHAnsi" w:hAnsiTheme="minorHAnsi" w:cstheme="minorHAnsi"/>
          <w:sz w:val="22"/>
          <w:szCs w:val="22"/>
        </w:rPr>
        <w:t xml:space="preserve">which borders Chichester to the </w:t>
      </w:r>
      <w:r w:rsidR="00BA5307">
        <w:rPr>
          <w:rFonts w:asciiTheme="minorHAnsi" w:hAnsiTheme="minorHAnsi" w:cstheme="minorHAnsi"/>
          <w:sz w:val="22"/>
          <w:szCs w:val="22"/>
        </w:rPr>
        <w:t>w</w:t>
      </w:r>
      <w:r w:rsidR="007C1497">
        <w:rPr>
          <w:rFonts w:asciiTheme="minorHAnsi" w:hAnsiTheme="minorHAnsi" w:cstheme="minorHAnsi"/>
          <w:sz w:val="22"/>
          <w:szCs w:val="22"/>
        </w:rPr>
        <w:t>est has stated that they expect their shortfall to be in the region of 4,000 homes</w:t>
      </w:r>
      <w:r w:rsidR="0077463A">
        <w:rPr>
          <w:rFonts w:asciiTheme="minorHAnsi" w:hAnsiTheme="minorHAnsi" w:cstheme="minorHAnsi"/>
          <w:sz w:val="22"/>
          <w:szCs w:val="22"/>
        </w:rPr>
        <w:t xml:space="preserve"> – a figure which will be much higher should the new standard method be adopted. </w:t>
      </w:r>
      <w:r w:rsidR="00BA5307">
        <w:rPr>
          <w:rFonts w:asciiTheme="minorHAnsi" w:hAnsiTheme="minorHAnsi" w:cstheme="minorHAnsi"/>
          <w:sz w:val="22"/>
          <w:szCs w:val="22"/>
        </w:rPr>
        <w:t xml:space="preserve">These </w:t>
      </w:r>
      <w:r w:rsidR="008929E0">
        <w:rPr>
          <w:rFonts w:asciiTheme="minorHAnsi" w:hAnsiTheme="minorHAnsi" w:cstheme="minorHAnsi"/>
          <w:sz w:val="22"/>
          <w:szCs w:val="22"/>
        </w:rPr>
        <w:t xml:space="preserve">are </w:t>
      </w:r>
      <w:r w:rsidR="00BA5307">
        <w:rPr>
          <w:rFonts w:asciiTheme="minorHAnsi" w:hAnsiTheme="minorHAnsi" w:cstheme="minorHAnsi"/>
          <w:sz w:val="22"/>
          <w:szCs w:val="22"/>
        </w:rPr>
        <w:t xml:space="preserve">significant shortfalls </w:t>
      </w:r>
      <w:r w:rsidR="009D0CDD">
        <w:rPr>
          <w:rFonts w:asciiTheme="minorHAnsi" w:hAnsiTheme="minorHAnsi" w:cstheme="minorHAnsi"/>
          <w:sz w:val="22"/>
          <w:szCs w:val="22"/>
        </w:rPr>
        <w:t>that</w:t>
      </w:r>
      <w:r w:rsidR="00C92475">
        <w:rPr>
          <w:rFonts w:asciiTheme="minorHAnsi" w:hAnsiTheme="minorHAnsi" w:cstheme="minorHAnsi"/>
          <w:sz w:val="22"/>
          <w:szCs w:val="22"/>
        </w:rPr>
        <w:t xml:space="preserve"> will impact on affordability across the sub region</w:t>
      </w:r>
      <w:r w:rsidR="009D0CDD">
        <w:rPr>
          <w:rFonts w:asciiTheme="minorHAnsi" w:hAnsiTheme="minorHAnsi" w:cstheme="minorHAnsi"/>
          <w:sz w:val="22"/>
          <w:szCs w:val="22"/>
        </w:rPr>
        <w:t xml:space="preserve"> </w:t>
      </w:r>
      <w:r w:rsidR="00714045">
        <w:rPr>
          <w:rFonts w:asciiTheme="minorHAnsi" w:hAnsiTheme="minorHAnsi" w:cstheme="minorHAnsi"/>
          <w:sz w:val="22"/>
          <w:szCs w:val="22"/>
        </w:rPr>
        <w:t>and</w:t>
      </w:r>
      <w:r w:rsidR="00FD04BD">
        <w:rPr>
          <w:rFonts w:asciiTheme="minorHAnsi" w:hAnsiTheme="minorHAnsi" w:cstheme="minorHAnsi"/>
          <w:sz w:val="22"/>
          <w:szCs w:val="22"/>
        </w:rPr>
        <w:t xml:space="preserve"> the HBF </w:t>
      </w:r>
      <w:r w:rsidR="00714045">
        <w:rPr>
          <w:rFonts w:asciiTheme="minorHAnsi" w:hAnsiTheme="minorHAnsi" w:cstheme="minorHAnsi"/>
          <w:sz w:val="22"/>
          <w:szCs w:val="22"/>
        </w:rPr>
        <w:t xml:space="preserve">consider these </w:t>
      </w:r>
      <w:r w:rsidR="00B71A6E">
        <w:rPr>
          <w:rFonts w:asciiTheme="minorHAnsi" w:hAnsiTheme="minorHAnsi" w:cstheme="minorHAnsi"/>
          <w:sz w:val="22"/>
          <w:szCs w:val="22"/>
        </w:rPr>
        <w:t>to have</w:t>
      </w:r>
      <w:r w:rsidR="009D0CDD">
        <w:rPr>
          <w:rFonts w:asciiTheme="minorHAnsi" w:hAnsiTheme="minorHAnsi" w:cstheme="minorHAnsi"/>
          <w:sz w:val="22"/>
          <w:szCs w:val="22"/>
        </w:rPr>
        <w:t xml:space="preserve"> been given </w:t>
      </w:r>
      <w:r w:rsidR="00714045">
        <w:rPr>
          <w:rFonts w:asciiTheme="minorHAnsi" w:hAnsiTheme="minorHAnsi" w:cstheme="minorHAnsi"/>
          <w:sz w:val="22"/>
          <w:szCs w:val="22"/>
        </w:rPr>
        <w:t>in</w:t>
      </w:r>
      <w:r w:rsidR="00FD04BD">
        <w:rPr>
          <w:rFonts w:asciiTheme="minorHAnsi" w:hAnsiTheme="minorHAnsi" w:cstheme="minorHAnsi"/>
          <w:sz w:val="22"/>
          <w:szCs w:val="22"/>
        </w:rPr>
        <w:t xml:space="preserve">sufficient </w:t>
      </w:r>
      <w:r w:rsidR="009D0CDD">
        <w:rPr>
          <w:rFonts w:asciiTheme="minorHAnsi" w:hAnsiTheme="minorHAnsi" w:cstheme="minorHAnsi"/>
          <w:sz w:val="22"/>
          <w:szCs w:val="22"/>
        </w:rPr>
        <w:t xml:space="preserve">consideration in </w:t>
      </w:r>
      <w:r w:rsidR="00FD04BD">
        <w:rPr>
          <w:rFonts w:asciiTheme="minorHAnsi" w:hAnsiTheme="minorHAnsi" w:cstheme="minorHAnsi"/>
          <w:sz w:val="22"/>
          <w:szCs w:val="22"/>
        </w:rPr>
        <w:t xml:space="preserve">the </w:t>
      </w:r>
      <w:r w:rsidR="009D0CDD">
        <w:rPr>
          <w:rFonts w:asciiTheme="minorHAnsi" w:hAnsiTheme="minorHAnsi" w:cstheme="minorHAnsi"/>
          <w:sz w:val="22"/>
          <w:szCs w:val="22"/>
        </w:rPr>
        <w:t>dec</w:t>
      </w:r>
      <w:r w:rsidR="00AB34F4">
        <w:rPr>
          <w:rFonts w:asciiTheme="minorHAnsi" w:hAnsiTheme="minorHAnsi" w:cstheme="minorHAnsi"/>
          <w:sz w:val="22"/>
          <w:szCs w:val="22"/>
        </w:rPr>
        <w:t xml:space="preserve">ision </w:t>
      </w:r>
      <w:r w:rsidR="00714045">
        <w:rPr>
          <w:rFonts w:asciiTheme="minorHAnsi" w:hAnsiTheme="minorHAnsi" w:cstheme="minorHAnsi"/>
          <w:sz w:val="22"/>
          <w:szCs w:val="22"/>
        </w:rPr>
        <w:t xml:space="preserve">by the Council </w:t>
      </w:r>
      <w:r w:rsidR="00AB34F4">
        <w:rPr>
          <w:rFonts w:asciiTheme="minorHAnsi" w:hAnsiTheme="minorHAnsi" w:cstheme="minorHAnsi"/>
          <w:sz w:val="22"/>
          <w:szCs w:val="22"/>
        </w:rPr>
        <w:t>not to meet own housing needs in full</w:t>
      </w:r>
      <w:r w:rsidR="00BB7FFE">
        <w:rPr>
          <w:rFonts w:asciiTheme="minorHAnsi" w:hAnsiTheme="minorHAnsi" w:cstheme="minorHAnsi"/>
          <w:sz w:val="22"/>
          <w:szCs w:val="22"/>
        </w:rPr>
        <w:t xml:space="preserve"> and the benefits of doing so</w:t>
      </w:r>
      <w:r w:rsidR="00AB34F4">
        <w:rPr>
          <w:rFonts w:asciiTheme="minorHAnsi" w:hAnsiTheme="minorHAnsi" w:cstheme="minorHAnsi"/>
          <w:sz w:val="22"/>
          <w:szCs w:val="22"/>
        </w:rPr>
        <w:t xml:space="preserve">. </w:t>
      </w:r>
    </w:p>
    <w:p w14:paraId="7EDFA11F" w14:textId="77777777" w:rsidR="007A58BF" w:rsidRPr="004A788A" w:rsidRDefault="007A58BF" w:rsidP="00F96A66">
      <w:pPr>
        <w:spacing w:line="360" w:lineRule="auto"/>
        <w:jc w:val="both"/>
        <w:rPr>
          <w:rFonts w:asciiTheme="minorHAnsi" w:hAnsiTheme="minorHAnsi" w:cstheme="minorHAnsi"/>
          <w:sz w:val="22"/>
          <w:szCs w:val="22"/>
        </w:rPr>
      </w:pPr>
    </w:p>
    <w:p w14:paraId="22BBC0EE" w14:textId="77777777" w:rsidR="00BB7FFE" w:rsidRDefault="00BB7FFE" w:rsidP="00F96A66">
      <w:pPr>
        <w:spacing w:line="360" w:lineRule="auto"/>
        <w:jc w:val="both"/>
        <w:rPr>
          <w:rFonts w:asciiTheme="minorHAnsi" w:hAnsiTheme="minorHAnsi" w:cstheme="minorHAnsi"/>
          <w:b/>
          <w:bCs/>
          <w:sz w:val="22"/>
          <w:szCs w:val="22"/>
        </w:rPr>
      </w:pPr>
    </w:p>
    <w:p w14:paraId="4E5813BA" w14:textId="77777777" w:rsidR="00BB7FFE" w:rsidRDefault="00BB7FFE" w:rsidP="00F96A66">
      <w:pPr>
        <w:spacing w:line="360" w:lineRule="auto"/>
        <w:jc w:val="both"/>
        <w:rPr>
          <w:rFonts w:asciiTheme="minorHAnsi" w:hAnsiTheme="minorHAnsi" w:cstheme="minorHAnsi"/>
          <w:b/>
          <w:bCs/>
          <w:sz w:val="22"/>
          <w:szCs w:val="22"/>
        </w:rPr>
      </w:pPr>
    </w:p>
    <w:p w14:paraId="3A4F5088" w14:textId="77777777" w:rsidR="00BB7FFE" w:rsidRDefault="00BB7FFE" w:rsidP="00F96A66">
      <w:pPr>
        <w:spacing w:line="360" w:lineRule="auto"/>
        <w:jc w:val="both"/>
        <w:rPr>
          <w:rFonts w:asciiTheme="minorHAnsi" w:hAnsiTheme="minorHAnsi" w:cstheme="minorHAnsi"/>
          <w:b/>
          <w:bCs/>
          <w:sz w:val="22"/>
          <w:szCs w:val="22"/>
        </w:rPr>
      </w:pPr>
    </w:p>
    <w:p w14:paraId="6CA7D164" w14:textId="77777777" w:rsidR="00BB7FFE" w:rsidRDefault="00BB7FFE" w:rsidP="00F96A66">
      <w:pPr>
        <w:spacing w:line="360" w:lineRule="auto"/>
        <w:jc w:val="both"/>
        <w:rPr>
          <w:rFonts w:asciiTheme="minorHAnsi" w:hAnsiTheme="minorHAnsi" w:cstheme="minorHAnsi"/>
          <w:b/>
          <w:bCs/>
          <w:sz w:val="22"/>
          <w:szCs w:val="22"/>
        </w:rPr>
      </w:pPr>
    </w:p>
    <w:p w14:paraId="6B2FE297" w14:textId="0FD1549D" w:rsidR="00E61D11" w:rsidRPr="00E61D11" w:rsidRDefault="003B3295" w:rsidP="00F96A66">
      <w:pPr>
        <w:spacing w:line="360" w:lineRule="auto"/>
        <w:jc w:val="both"/>
        <w:rPr>
          <w:rFonts w:asciiTheme="minorHAnsi" w:hAnsiTheme="minorHAnsi" w:cstheme="minorHAnsi"/>
          <w:b/>
          <w:bCs/>
          <w:sz w:val="22"/>
          <w:szCs w:val="22"/>
        </w:rPr>
      </w:pPr>
      <w:r w:rsidRPr="00AD68E9">
        <w:rPr>
          <w:rFonts w:asciiTheme="minorHAnsi" w:hAnsiTheme="minorHAnsi" w:cstheme="minorHAnsi"/>
          <w:b/>
          <w:bCs/>
          <w:sz w:val="22"/>
          <w:szCs w:val="22"/>
        </w:rPr>
        <w:t xml:space="preserve">Matter </w:t>
      </w:r>
      <w:r w:rsidR="00784F5E">
        <w:rPr>
          <w:rFonts w:asciiTheme="minorHAnsi" w:hAnsiTheme="minorHAnsi" w:cstheme="minorHAnsi"/>
          <w:b/>
          <w:bCs/>
          <w:sz w:val="22"/>
          <w:szCs w:val="22"/>
        </w:rPr>
        <w:t>2</w:t>
      </w:r>
      <w:r w:rsidR="00E61D11">
        <w:rPr>
          <w:rFonts w:asciiTheme="minorHAnsi" w:hAnsiTheme="minorHAnsi" w:cstheme="minorHAnsi"/>
          <w:b/>
          <w:bCs/>
          <w:sz w:val="22"/>
          <w:szCs w:val="22"/>
        </w:rPr>
        <w:t xml:space="preserve"> </w:t>
      </w:r>
      <w:r w:rsidR="00E61D11" w:rsidRPr="00E61D11">
        <w:rPr>
          <w:rFonts w:asciiTheme="minorHAnsi" w:hAnsiTheme="minorHAnsi" w:cstheme="minorHAnsi"/>
          <w:b/>
          <w:bCs/>
          <w:sz w:val="22"/>
          <w:szCs w:val="22"/>
        </w:rPr>
        <w:t>Strategic Policies</w:t>
      </w:r>
    </w:p>
    <w:p w14:paraId="07EAF4B7" w14:textId="77777777" w:rsidR="00E61D11" w:rsidRDefault="00E61D11" w:rsidP="00F96A66">
      <w:pPr>
        <w:spacing w:line="360" w:lineRule="auto"/>
        <w:jc w:val="both"/>
        <w:rPr>
          <w:rFonts w:asciiTheme="minorHAnsi" w:hAnsiTheme="minorHAnsi" w:cstheme="minorHAnsi"/>
          <w:b/>
          <w:bCs/>
          <w:sz w:val="22"/>
          <w:szCs w:val="22"/>
        </w:rPr>
      </w:pPr>
    </w:p>
    <w:p w14:paraId="2714A46E" w14:textId="40E40D9C" w:rsidR="00E61D11" w:rsidRDefault="00E61D11" w:rsidP="00F96A66">
      <w:pPr>
        <w:spacing w:line="360" w:lineRule="auto"/>
        <w:jc w:val="both"/>
        <w:rPr>
          <w:rFonts w:asciiTheme="minorHAnsi" w:hAnsiTheme="minorHAnsi" w:cstheme="minorHAnsi"/>
          <w:b/>
          <w:bCs/>
          <w:sz w:val="22"/>
          <w:szCs w:val="22"/>
        </w:rPr>
      </w:pPr>
      <w:r w:rsidRPr="00E61D11">
        <w:rPr>
          <w:rFonts w:asciiTheme="minorHAnsi" w:hAnsiTheme="minorHAnsi" w:cstheme="minorHAnsi"/>
          <w:b/>
          <w:bCs/>
          <w:sz w:val="22"/>
          <w:szCs w:val="22"/>
        </w:rPr>
        <w:t>Issue: Whether the strategic policies of the Plan would look ahead over a minimum of 15 years from adoption as per paragraph 22 of the National Planning Policy Framework (NPPF)?</w:t>
      </w:r>
    </w:p>
    <w:p w14:paraId="0945413A" w14:textId="77777777" w:rsidR="00E61D11" w:rsidRPr="00E61D11" w:rsidRDefault="00E61D11" w:rsidP="00F96A66">
      <w:pPr>
        <w:spacing w:line="360" w:lineRule="auto"/>
        <w:jc w:val="both"/>
        <w:rPr>
          <w:rFonts w:asciiTheme="minorHAnsi" w:hAnsiTheme="minorHAnsi" w:cstheme="minorHAnsi"/>
          <w:b/>
          <w:bCs/>
          <w:sz w:val="22"/>
          <w:szCs w:val="22"/>
        </w:rPr>
      </w:pPr>
    </w:p>
    <w:p w14:paraId="088407E1" w14:textId="5DF4E740" w:rsidR="003B3295" w:rsidRPr="007A2B6C" w:rsidRDefault="00E61D11" w:rsidP="00F96A66">
      <w:pPr>
        <w:spacing w:line="360" w:lineRule="auto"/>
        <w:jc w:val="both"/>
        <w:rPr>
          <w:rFonts w:asciiTheme="minorHAnsi" w:hAnsiTheme="minorHAnsi" w:cstheme="minorHAnsi"/>
          <w:i/>
          <w:iCs/>
          <w:sz w:val="22"/>
          <w:szCs w:val="22"/>
          <w:u w:val="single"/>
        </w:rPr>
      </w:pPr>
      <w:r w:rsidRPr="007A2B6C">
        <w:rPr>
          <w:rFonts w:asciiTheme="minorHAnsi" w:hAnsiTheme="minorHAnsi" w:cstheme="minorHAnsi"/>
          <w:i/>
          <w:iCs/>
          <w:sz w:val="22"/>
          <w:szCs w:val="22"/>
          <w:u w:val="single"/>
        </w:rPr>
        <w:t>Q.12 The strategic policies of the Plan would cover the period 2021 to 2039. Given the anticipated adoption date of the Plan as set out in the LDS, the strategic policies would not look ahead over a minimum of 15 years from adoption as per NPPF paragraph 22. What is the justification for this, and is the Plan positively prepared in this regard?</w:t>
      </w:r>
    </w:p>
    <w:p w14:paraId="4C2EF76A" w14:textId="77777777" w:rsidR="003B3295" w:rsidRDefault="003B3295" w:rsidP="00F96A66">
      <w:pPr>
        <w:spacing w:line="360" w:lineRule="auto"/>
        <w:jc w:val="both"/>
        <w:rPr>
          <w:rFonts w:asciiTheme="minorHAnsi" w:hAnsiTheme="minorHAnsi" w:cstheme="minorHAnsi"/>
          <w:sz w:val="22"/>
          <w:szCs w:val="22"/>
        </w:rPr>
      </w:pPr>
    </w:p>
    <w:p w14:paraId="30499960" w14:textId="02829281" w:rsidR="008B527A" w:rsidRDefault="00AB2290" w:rsidP="00F96A66">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plan period is </w:t>
      </w:r>
      <w:r w:rsidR="007A2B6C">
        <w:rPr>
          <w:rFonts w:asciiTheme="minorHAnsi" w:hAnsiTheme="minorHAnsi" w:cstheme="minorHAnsi"/>
          <w:sz w:val="22"/>
          <w:szCs w:val="22"/>
        </w:rPr>
        <w:t>inconsistent</w:t>
      </w:r>
      <w:r>
        <w:rPr>
          <w:rFonts w:asciiTheme="minorHAnsi" w:hAnsiTheme="minorHAnsi" w:cstheme="minorHAnsi"/>
          <w:sz w:val="22"/>
          <w:szCs w:val="22"/>
        </w:rPr>
        <w:t xml:space="preserve"> with national policy in that it looks ahead for </w:t>
      </w:r>
      <w:r w:rsidR="007A2B6C">
        <w:rPr>
          <w:rFonts w:asciiTheme="minorHAnsi" w:hAnsiTheme="minorHAnsi" w:cstheme="minorHAnsi"/>
          <w:sz w:val="22"/>
          <w:szCs w:val="22"/>
        </w:rPr>
        <w:t xml:space="preserve">14 years from </w:t>
      </w:r>
      <w:r w:rsidR="00D41BB7">
        <w:rPr>
          <w:rFonts w:asciiTheme="minorHAnsi" w:hAnsiTheme="minorHAnsi" w:cstheme="minorHAnsi"/>
          <w:sz w:val="22"/>
          <w:szCs w:val="22"/>
        </w:rPr>
        <w:t>its likely adoption in 2025, subject to it be found sound</w:t>
      </w:r>
      <w:r w:rsidR="007A2B6C">
        <w:rPr>
          <w:rFonts w:asciiTheme="minorHAnsi" w:hAnsiTheme="minorHAnsi" w:cstheme="minorHAnsi"/>
          <w:sz w:val="22"/>
          <w:szCs w:val="22"/>
        </w:rPr>
        <w:t>. I</w:t>
      </w:r>
      <w:r w:rsidR="00D41BB7">
        <w:rPr>
          <w:rFonts w:asciiTheme="minorHAnsi" w:hAnsiTheme="minorHAnsi" w:cstheme="minorHAnsi"/>
          <w:sz w:val="22"/>
          <w:szCs w:val="22"/>
        </w:rPr>
        <w:t>n</w:t>
      </w:r>
      <w:r w:rsidR="007A2B6C">
        <w:rPr>
          <w:rFonts w:asciiTheme="minorHAnsi" w:hAnsiTheme="minorHAnsi" w:cstheme="minorHAnsi"/>
          <w:sz w:val="22"/>
          <w:szCs w:val="22"/>
        </w:rPr>
        <w:t xml:space="preserve"> order to be consistent with national policy it should </w:t>
      </w:r>
      <w:r w:rsidR="00D41BB7">
        <w:rPr>
          <w:rFonts w:asciiTheme="minorHAnsi" w:hAnsiTheme="minorHAnsi" w:cstheme="minorHAnsi"/>
          <w:sz w:val="22"/>
          <w:szCs w:val="22"/>
        </w:rPr>
        <w:t>be extended by a single year.</w:t>
      </w:r>
    </w:p>
    <w:p w14:paraId="16548509" w14:textId="77777777" w:rsidR="00926C49" w:rsidRDefault="00926C49" w:rsidP="00F96A66">
      <w:pPr>
        <w:spacing w:line="360" w:lineRule="auto"/>
        <w:jc w:val="both"/>
        <w:rPr>
          <w:rFonts w:asciiTheme="minorHAnsi" w:hAnsiTheme="minorHAnsi" w:cstheme="minorHAnsi"/>
          <w:sz w:val="22"/>
          <w:szCs w:val="22"/>
        </w:rPr>
      </w:pPr>
    </w:p>
    <w:p w14:paraId="559038F3" w14:textId="77777777" w:rsidR="003A5F18" w:rsidRPr="003A5F18" w:rsidRDefault="003A5F18" w:rsidP="00F96A66">
      <w:pPr>
        <w:spacing w:line="360" w:lineRule="auto"/>
        <w:jc w:val="both"/>
        <w:rPr>
          <w:rFonts w:asciiTheme="minorHAnsi" w:hAnsiTheme="minorHAnsi" w:cstheme="minorHAnsi"/>
          <w:b/>
          <w:bCs/>
          <w:sz w:val="22"/>
          <w:szCs w:val="22"/>
        </w:rPr>
      </w:pPr>
      <w:r w:rsidRPr="003A5F18">
        <w:rPr>
          <w:rFonts w:asciiTheme="minorHAnsi" w:hAnsiTheme="minorHAnsi" w:cstheme="minorHAnsi"/>
          <w:b/>
          <w:bCs/>
          <w:sz w:val="22"/>
          <w:szCs w:val="22"/>
        </w:rPr>
        <w:t>Matter 3: The Spatial Strategy</w:t>
      </w:r>
    </w:p>
    <w:p w14:paraId="7405471D" w14:textId="77777777" w:rsidR="003A5F18" w:rsidRPr="003A5F18" w:rsidRDefault="003A5F18" w:rsidP="00F96A66">
      <w:pPr>
        <w:spacing w:line="360" w:lineRule="auto"/>
        <w:jc w:val="both"/>
        <w:rPr>
          <w:rFonts w:asciiTheme="minorHAnsi" w:hAnsiTheme="minorHAnsi" w:cstheme="minorHAnsi"/>
          <w:b/>
          <w:bCs/>
          <w:sz w:val="22"/>
          <w:szCs w:val="22"/>
        </w:rPr>
      </w:pPr>
    </w:p>
    <w:p w14:paraId="18E5AEB4" w14:textId="715F6727" w:rsidR="003A5F18" w:rsidRPr="003A5F18" w:rsidRDefault="003A5F18" w:rsidP="00F96A66">
      <w:pPr>
        <w:spacing w:line="360" w:lineRule="auto"/>
        <w:jc w:val="both"/>
        <w:rPr>
          <w:rFonts w:asciiTheme="minorHAnsi" w:hAnsiTheme="minorHAnsi" w:cstheme="minorHAnsi"/>
          <w:b/>
          <w:bCs/>
          <w:sz w:val="22"/>
          <w:szCs w:val="22"/>
        </w:rPr>
      </w:pPr>
      <w:r w:rsidRPr="003A5F18">
        <w:rPr>
          <w:rFonts w:asciiTheme="minorHAnsi" w:hAnsiTheme="minorHAnsi" w:cstheme="minorHAnsi"/>
          <w:b/>
          <w:bCs/>
          <w:sz w:val="22"/>
          <w:szCs w:val="22"/>
        </w:rPr>
        <w:t>Issue: Is the spatial strategy positively prepared, justified, effective, and consistent with national policy?</w:t>
      </w:r>
    </w:p>
    <w:p w14:paraId="2F3DCFF3" w14:textId="77777777" w:rsidR="003A5F18" w:rsidRDefault="003A5F18" w:rsidP="00F96A66">
      <w:pPr>
        <w:spacing w:line="360" w:lineRule="auto"/>
        <w:jc w:val="both"/>
        <w:rPr>
          <w:rFonts w:asciiTheme="minorHAnsi" w:hAnsiTheme="minorHAnsi" w:cstheme="minorHAnsi"/>
          <w:sz w:val="22"/>
          <w:szCs w:val="22"/>
        </w:rPr>
      </w:pPr>
    </w:p>
    <w:p w14:paraId="3E6BDC7F" w14:textId="30E3D3B7" w:rsidR="003A5F18" w:rsidRPr="00F96BF0" w:rsidRDefault="003A5F18" w:rsidP="00F96A66">
      <w:pPr>
        <w:spacing w:line="360" w:lineRule="auto"/>
        <w:jc w:val="both"/>
        <w:rPr>
          <w:rFonts w:asciiTheme="minorHAnsi" w:hAnsiTheme="minorHAnsi" w:cstheme="minorHAnsi"/>
          <w:b/>
          <w:bCs/>
          <w:sz w:val="22"/>
          <w:szCs w:val="22"/>
        </w:rPr>
      </w:pPr>
      <w:r w:rsidRPr="00F96BF0">
        <w:rPr>
          <w:rFonts w:asciiTheme="minorHAnsi" w:hAnsiTheme="minorHAnsi" w:cstheme="minorHAnsi"/>
          <w:b/>
          <w:bCs/>
          <w:sz w:val="22"/>
          <w:szCs w:val="22"/>
        </w:rPr>
        <w:t>Policy S1 Spatial Development Strategy</w:t>
      </w:r>
    </w:p>
    <w:p w14:paraId="795823F0" w14:textId="77777777" w:rsidR="003A5F18" w:rsidRDefault="003A5F18" w:rsidP="00F96A66">
      <w:pPr>
        <w:spacing w:line="360" w:lineRule="auto"/>
        <w:jc w:val="both"/>
        <w:rPr>
          <w:rFonts w:asciiTheme="minorHAnsi" w:hAnsiTheme="minorHAnsi" w:cstheme="minorHAnsi"/>
          <w:sz w:val="22"/>
          <w:szCs w:val="22"/>
        </w:rPr>
      </w:pPr>
    </w:p>
    <w:p w14:paraId="4AF6DB50" w14:textId="09861ECC" w:rsidR="003A5F18" w:rsidRPr="006B3D12" w:rsidRDefault="003A5F18" w:rsidP="00F96A66">
      <w:pPr>
        <w:spacing w:line="360" w:lineRule="auto"/>
        <w:jc w:val="both"/>
        <w:rPr>
          <w:rFonts w:asciiTheme="minorHAnsi" w:hAnsiTheme="minorHAnsi" w:cstheme="minorHAnsi"/>
          <w:i/>
          <w:iCs/>
          <w:sz w:val="22"/>
          <w:szCs w:val="22"/>
          <w:u w:val="single"/>
        </w:rPr>
      </w:pPr>
      <w:r w:rsidRPr="006B3D12">
        <w:rPr>
          <w:rFonts w:asciiTheme="minorHAnsi" w:hAnsiTheme="minorHAnsi" w:cstheme="minorHAnsi"/>
          <w:i/>
          <w:iCs/>
          <w:sz w:val="22"/>
          <w:szCs w:val="22"/>
          <w:u w:val="single"/>
        </w:rPr>
        <w:t>Q.13 What is the justification for the proposed distribution of development in the plan area?</w:t>
      </w:r>
    </w:p>
    <w:p w14:paraId="277C5BCB" w14:textId="77777777" w:rsidR="00F96BF0" w:rsidRDefault="00F96BF0" w:rsidP="00F96A66">
      <w:pPr>
        <w:spacing w:line="360" w:lineRule="auto"/>
        <w:jc w:val="both"/>
        <w:rPr>
          <w:rFonts w:asciiTheme="minorHAnsi" w:hAnsiTheme="minorHAnsi" w:cstheme="minorHAnsi"/>
          <w:sz w:val="22"/>
          <w:szCs w:val="22"/>
        </w:rPr>
      </w:pPr>
    </w:p>
    <w:p w14:paraId="1E0BC3AC" w14:textId="4B4167D9" w:rsidR="0071139C" w:rsidRDefault="0095603B" w:rsidP="00F96A66">
      <w:pPr>
        <w:spacing w:line="360" w:lineRule="auto"/>
        <w:jc w:val="both"/>
        <w:rPr>
          <w:rFonts w:asciiTheme="minorHAnsi" w:hAnsiTheme="minorHAnsi" w:cstheme="minorHAnsi"/>
          <w:sz w:val="22"/>
          <w:szCs w:val="22"/>
        </w:rPr>
      </w:pPr>
      <w:r>
        <w:rPr>
          <w:rFonts w:asciiTheme="minorHAnsi" w:hAnsiTheme="minorHAnsi" w:cstheme="minorHAnsi"/>
          <w:sz w:val="22"/>
          <w:szCs w:val="22"/>
        </w:rPr>
        <w:t>For Council</w:t>
      </w:r>
      <w:r w:rsidR="001A7B4C">
        <w:rPr>
          <w:rFonts w:asciiTheme="minorHAnsi" w:hAnsiTheme="minorHAnsi" w:cstheme="minorHAnsi"/>
          <w:sz w:val="22"/>
          <w:szCs w:val="22"/>
        </w:rPr>
        <w:t>.</w:t>
      </w:r>
    </w:p>
    <w:p w14:paraId="54874C01" w14:textId="77777777" w:rsidR="00165D4D" w:rsidRPr="003A5F18" w:rsidRDefault="00165D4D" w:rsidP="00F96A66">
      <w:pPr>
        <w:spacing w:line="360" w:lineRule="auto"/>
        <w:jc w:val="both"/>
        <w:rPr>
          <w:rFonts w:asciiTheme="minorHAnsi" w:hAnsiTheme="minorHAnsi" w:cstheme="minorHAnsi"/>
          <w:sz w:val="22"/>
          <w:szCs w:val="22"/>
        </w:rPr>
      </w:pPr>
    </w:p>
    <w:p w14:paraId="7B486A78" w14:textId="77777777" w:rsidR="003A5F18" w:rsidRPr="006B3D12" w:rsidRDefault="003A5F18" w:rsidP="00F96A66">
      <w:pPr>
        <w:spacing w:line="360" w:lineRule="auto"/>
        <w:jc w:val="both"/>
        <w:rPr>
          <w:rFonts w:asciiTheme="minorHAnsi" w:hAnsiTheme="minorHAnsi" w:cstheme="minorHAnsi"/>
          <w:i/>
          <w:iCs/>
          <w:sz w:val="22"/>
          <w:szCs w:val="22"/>
          <w:u w:val="single"/>
        </w:rPr>
      </w:pPr>
      <w:r w:rsidRPr="006B3D12">
        <w:rPr>
          <w:rFonts w:asciiTheme="minorHAnsi" w:hAnsiTheme="minorHAnsi" w:cstheme="minorHAnsi"/>
          <w:i/>
          <w:iCs/>
          <w:sz w:val="22"/>
          <w:szCs w:val="22"/>
          <w:u w:val="single"/>
        </w:rPr>
        <w:t>Q.14 In assessing the transport impacts of housing growth, what reasonable alternative levels of housing growth were considered for the southern plan area and why were they discounted? (see also Matter 4A transport)</w:t>
      </w:r>
    </w:p>
    <w:p w14:paraId="18708CBF" w14:textId="77777777" w:rsidR="00F96BF0" w:rsidRDefault="00F96BF0" w:rsidP="00F96A66">
      <w:pPr>
        <w:spacing w:line="360" w:lineRule="auto"/>
        <w:jc w:val="both"/>
        <w:rPr>
          <w:rFonts w:asciiTheme="minorHAnsi" w:hAnsiTheme="minorHAnsi" w:cstheme="minorHAnsi"/>
          <w:sz w:val="22"/>
          <w:szCs w:val="22"/>
        </w:rPr>
      </w:pPr>
    </w:p>
    <w:p w14:paraId="621F7693" w14:textId="4A3109E1" w:rsidR="00031A21" w:rsidRDefault="00531B28" w:rsidP="00F96A66">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This is </w:t>
      </w:r>
      <w:r w:rsidR="008A3E39">
        <w:rPr>
          <w:rFonts w:asciiTheme="minorHAnsi" w:hAnsiTheme="minorHAnsi" w:cstheme="minorHAnsi"/>
          <w:sz w:val="22"/>
          <w:szCs w:val="22"/>
        </w:rPr>
        <w:t xml:space="preserve">broadly </w:t>
      </w:r>
      <w:r>
        <w:rPr>
          <w:rFonts w:asciiTheme="minorHAnsi" w:hAnsiTheme="minorHAnsi" w:cstheme="minorHAnsi"/>
          <w:sz w:val="22"/>
          <w:szCs w:val="22"/>
        </w:rPr>
        <w:t>for the council to answer</w:t>
      </w:r>
      <w:r w:rsidR="00027786">
        <w:rPr>
          <w:rFonts w:asciiTheme="minorHAnsi" w:hAnsiTheme="minorHAnsi" w:cstheme="minorHAnsi"/>
          <w:sz w:val="22"/>
          <w:szCs w:val="22"/>
        </w:rPr>
        <w:t xml:space="preserve"> and out comments on </w:t>
      </w:r>
      <w:r w:rsidR="00DA306B">
        <w:rPr>
          <w:rFonts w:asciiTheme="minorHAnsi" w:hAnsiTheme="minorHAnsi" w:cstheme="minorHAnsi"/>
          <w:sz w:val="22"/>
          <w:szCs w:val="22"/>
        </w:rPr>
        <w:t>transport are set out in our response to Matter 4A</w:t>
      </w:r>
      <w:r w:rsidR="00A40E09">
        <w:rPr>
          <w:rFonts w:asciiTheme="minorHAnsi" w:hAnsiTheme="minorHAnsi" w:cstheme="minorHAnsi"/>
          <w:sz w:val="22"/>
          <w:szCs w:val="22"/>
        </w:rPr>
        <w:t xml:space="preserve">. However, it </w:t>
      </w:r>
      <w:r w:rsidR="006D33AA">
        <w:rPr>
          <w:rFonts w:asciiTheme="minorHAnsi" w:hAnsiTheme="minorHAnsi" w:cstheme="minorHAnsi"/>
          <w:sz w:val="22"/>
          <w:szCs w:val="22"/>
        </w:rPr>
        <w:t>would</w:t>
      </w:r>
      <w:r w:rsidR="00A40E09">
        <w:rPr>
          <w:rFonts w:asciiTheme="minorHAnsi" w:hAnsiTheme="minorHAnsi" w:cstheme="minorHAnsi"/>
          <w:sz w:val="22"/>
          <w:szCs w:val="22"/>
        </w:rPr>
        <w:t xml:space="preserve"> appear that the council tested through the TA </w:t>
      </w:r>
      <w:r w:rsidR="006D33AA">
        <w:rPr>
          <w:rFonts w:asciiTheme="minorHAnsi" w:hAnsiTheme="minorHAnsi" w:cstheme="minorHAnsi"/>
          <w:sz w:val="22"/>
          <w:szCs w:val="22"/>
        </w:rPr>
        <w:t>534 dpa and 638 dpa in the southern plan area</w:t>
      </w:r>
      <w:r w:rsidR="0077634F">
        <w:rPr>
          <w:rFonts w:asciiTheme="minorHAnsi" w:hAnsiTheme="minorHAnsi" w:cstheme="minorHAnsi"/>
          <w:sz w:val="22"/>
          <w:szCs w:val="22"/>
        </w:rPr>
        <w:t xml:space="preserve">. It is notable that 638 is the level </w:t>
      </w:r>
      <w:r w:rsidR="00325931">
        <w:rPr>
          <w:rFonts w:asciiTheme="minorHAnsi" w:hAnsiTheme="minorHAnsi" w:cstheme="minorHAnsi"/>
          <w:sz w:val="22"/>
          <w:szCs w:val="22"/>
        </w:rPr>
        <w:t xml:space="preserve">of need for the whole of the local plan and it is </w:t>
      </w:r>
      <w:r w:rsidR="00027786">
        <w:rPr>
          <w:rFonts w:asciiTheme="minorHAnsi" w:hAnsiTheme="minorHAnsi" w:cstheme="minorHAnsi"/>
          <w:sz w:val="22"/>
          <w:szCs w:val="22"/>
        </w:rPr>
        <w:t>surprising</w:t>
      </w:r>
      <w:r w:rsidR="00325931">
        <w:rPr>
          <w:rFonts w:asciiTheme="minorHAnsi" w:hAnsiTheme="minorHAnsi" w:cstheme="minorHAnsi"/>
          <w:sz w:val="22"/>
          <w:szCs w:val="22"/>
        </w:rPr>
        <w:t xml:space="preserve"> that the TA did not test </w:t>
      </w:r>
      <w:r w:rsidR="00027786">
        <w:rPr>
          <w:rFonts w:asciiTheme="minorHAnsi" w:hAnsiTheme="minorHAnsi" w:cstheme="minorHAnsi"/>
          <w:sz w:val="22"/>
          <w:szCs w:val="22"/>
        </w:rPr>
        <w:t xml:space="preserve">598 </w:t>
      </w:r>
      <w:r w:rsidR="00027786">
        <w:rPr>
          <w:rFonts w:asciiTheme="minorHAnsi" w:hAnsiTheme="minorHAnsi" w:cstheme="minorHAnsi"/>
          <w:sz w:val="22"/>
          <w:szCs w:val="22"/>
        </w:rPr>
        <w:lastRenderedPageBreak/>
        <w:t>dpa in the southern plan area to consider whether housing needs could be met in full.</w:t>
      </w:r>
      <w:r w:rsidR="00C13FA3">
        <w:rPr>
          <w:rFonts w:asciiTheme="minorHAnsi" w:hAnsiTheme="minorHAnsi" w:cstheme="minorHAnsi"/>
          <w:sz w:val="22"/>
          <w:szCs w:val="22"/>
        </w:rPr>
        <w:t xml:space="preserve"> This would appear to be a reasonable alternative to consider </w:t>
      </w:r>
      <w:r w:rsidR="004F5662">
        <w:rPr>
          <w:rFonts w:asciiTheme="minorHAnsi" w:hAnsiTheme="minorHAnsi" w:cstheme="minorHAnsi"/>
          <w:sz w:val="22"/>
          <w:szCs w:val="22"/>
        </w:rPr>
        <w:t xml:space="preserve">given the requirement in national policy to meet housing needs in full. </w:t>
      </w:r>
    </w:p>
    <w:p w14:paraId="55C79EA9" w14:textId="77777777" w:rsidR="00165D4D" w:rsidRPr="003A5F18" w:rsidRDefault="00165D4D" w:rsidP="00F96A66">
      <w:pPr>
        <w:spacing w:line="360" w:lineRule="auto"/>
        <w:jc w:val="both"/>
        <w:rPr>
          <w:rFonts w:asciiTheme="minorHAnsi" w:hAnsiTheme="minorHAnsi" w:cstheme="minorHAnsi"/>
          <w:sz w:val="22"/>
          <w:szCs w:val="22"/>
        </w:rPr>
      </w:pPr>
    </w:p>
    <w:p w14:paraId="242978B4" w14:textId="41F50D5D" w:rsidR="003A5F18" w:rsidRPr="006B3D12" w:rsidRDefault="003A5F18" w:rsidP="00F96A66">
      <w:pPr>
        <w:spacing w:line="360" w:lineRule="auto"/>
        <w:jc w:val="both"/>
        <w:rPr>
          <w:rFonts w:asciiTheme="minorHAnsi" w:hAnsiTheme="minorHAnsi" w:cstheme="minorHAnsi"/>
          <w:i/>
          <w:iCs/>
          <w:sz w:val="22"/>
          <w:szCs w:val="22"/>
          <w:u w:val="single"/>
        </w:rPr>
      </w:pPr>
      <w:r w:rsidRPr="006B3D12">
        <w:rPr>
          <w:rFonts w:asciiTheme="minorHAnsi" w:hAnsiTheme="minorHAnsi" w:cstheme="minorHAnsi"/>
          <w:i/>
          <w:iCs/>
          <w:sz w:val="22"/>
          <w:szCs w:val="22"/>
          <w:u w:val="single"/>
        </w:rPr>
        <w:t xml:space="preserve">Q.15 The final paragraph of the Policy says ‘To ensure that the council delivers its housing target, the distribution of development may need to be flexibly applied, within the overall context of seeking to ensure that the majority of new housing is developed in accordance with this Strategy </w:t>
      </w:r>
      <w:r w:rsidRPr="00F96A66">
        <w:rPr>
          <w:rFonts w:asciiTheme="minorHAnsi" w:hAnsiTheme="minorHAnsi" w:cstheme="minorHAnsi"/>
          <w:sz w:val="22"/>
          <w:szCs w:val="22"/>
        </w:rPr>
        <w:t>where</w:t>
      </w:r>
      <w:r w:rsidRPr="006B3D12">
        <w:rPr>
          <w:rFonts w:asciiTheme="minorHAnsi" w:hAnsiTheme="minorHAnsi" w:cstheme="minorHAnsi"/>
          <w:i/>
          <w:iCs/>
          <w:sz w:val="22"/>
          <w:szCs w:val="22"/>
          <w:u w:val="single"/>
        </w:rPr>
        <w:t xml:space="preserve"> appropriate and consistent with other policies in this plan. Any changes to the distribution will be clearly evidenced and monitored through the Authority Monitoring Report’. What is meant by ‘flexibly applied’? Is the Policy clearly written and unambiguous, so it is evident how a decision maker should react to development proposals?</w:t>
      </w:r>
    </w:p>
    <w:p w14:paraId="3AD55B1F" w14:textId="77777777" w:rsidR="00165D4D" w:rsidRDefault="00165D4D" w:rsidP="00F96A66">
      <w:pPr>
        <w:spacing w:line="360" w:lineRule="auto"/>
        <w:jc w:val="both"/>
        <w:rPr>
          <w:rFonts w:asciiTheme="minorHAnsi" w:hAnsiTheme="minorHAnsi" w:cstheme="minorHAnsi"/>
          <w:sz w:val="22"/>
          <w:szCs w:val="22"/>
        </w:rPr>
      </w:pPr>
    </w:p>
    <w:p w14:paraId="3C234E2D" w14:textId="188F6ED7" w:rsidR="006B3D12" w:rsidRPr="003A5F18" w:rsidRDefault="003E40B4" w:rsidP="00F96A66">
      <w:pPr>
        <w:spacing w:line="360" w:lineRule="auto"/>
        <w:jc w:val="both"/>
        <w:rPr>
          <w:rFonts w:asciiTheme="minorHAnsi" w:hAnsiTheme="minorHAnsi" w:cstheme="minorHAnsi"/>
          <w:sz w:val="22"/>
          <w:szCs w:val="22"/>
        </w:rPr>
      </w:pPr>
      <w:r>
        <w:rPr>
          <w:rFonts w:asciiTheme="minorHAnsi" w:hAnsiTheme="minorHAnsi" w:cstheme="minorHAnsi"/>
          <w:sz w:val="22"/>
          <w:szCs w:val="22"/>
        </w:rPr>
        <w:t>For council</w:t>
      </w:r>
      <w:r w:rsidR="001A693A">
        <w:rPr>
          <w:rFonts w:asciiTheme="minorHAnsi" w:hAnsiTheme="minorHAnsi" w:cstheme="minorHAnsi"/>
          <w:sz w:val="22"/>
          <w:szCs w:val="22"/>
        </w:rPr>
        <w:t>.</w:t>
      </w:r>
    </w:p>
    <w:p w14:paraId="34DF6BFC" w14:textId="77777777" w:rsidR="003E40B4" w:rsidRDefault="003E40B4" w:rsidP="00F96A66">
      <w:pPr>
        <w:spacing w:line="360" w:lineRule="auto"/>
        <w:jc w:val="both"/>
        <w:rPr>
          <w:rFonts w:asciiTheme="minorHAnsi" w:hAnsiTheme="minorHAnsi" w:cstheme="minorHAnsi"/>
          <w:i/>
          <w:iCs/>
          <w:sz w:val="22"/>
          <w:szCs w:val="22"/>
          <w:u w:val="single"/>
        </w:rPr>
      </w:pPr>
    </w:p>
    <w:p w14:paraId="660855A6" w14:textId="2CF457F7" w:rsidR="003A5F18" w:rsidRPr="006B3D12" w:rsidRDefault="003A5F18" w:rsidP="00F96A66">
      <w:pPr>
        <w:spacing w:line="360" w:lineRule="auto"/>
        <w:jc w:val="both"/>
        <w:rPr>
          <w:rFonts w:asciiTheme="minorHAnsi" w:hAnsiTheme="minorHAnsi" w:cstheme="minorHAnsi"/>
          <w:i/>
          <w:iCs/>
          <w:sz w:val="22"/>
          <w:szCs w:val="22"/>
          <w:u w:val="single"/>
        </w:rPr>
      </w:pPr>
      <w:r w:rsidRPr="006B3D12">
        <w:rPr>
          <w:rFonts w:asciiTheme="minorHAnsi" w:hAnsiTheme="minorHAnsi" w:cstheme="minorHAnsi"/>
          <w:i/>
          <w:iCs/>
          <w:sz w:val="22"/>
          <w:szCs w:val="22"/>
          <w:u w:val="single"/>
        </w:rPr>
        <w:t>Q.16 Are the proposed main modifications (MMs) necessary for soundness?</w:t>
      </w:r>
    </w:p>
    <w:p w14:paraId="02B377C4" w14:textId="77777777" w:rsidR="006808E9" w:rsidRDefault="006808E9" w:rsidP="00F96A66">
      <w:pPr>
        <w:spacing w:line="360" w:lineRule="auto"/>
        <w:jc w:val="both"/>
        <w:rPr>
          <w:rFonts w:asciiTheme="minorHAnsi" w:hAnsiTheme="minorHAnsi" w:cstheme="minorHAnsi"/>
          <w:sz w:val="22"/>
          <w:szCs w:val="22"/>
        </w:rPr>
      </w:pPr>
    </w:p>
    <w:p w14:paraId="28838E4D" w14:textId="26073392" w:rsidR="006B3D12" w:rsidRDefault="003E40B4" w:rsidP="00F96A66">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No </w:t>
      </w:r>
      <w:r w:rsidR="009E7122">
        <w:rPr>
          <w:rFonts w:asciiTheme="minorHAnsi" w:hAnsiTheme="minorHAnsi" w:cstheme="minorHAnsi"/>
          <w:sz w:val="22"/>
          <w:szCs w:val="22"/>
        </w:rPr>
        <w:t>comment</w:t>
      </w:r>
    </w:p>
    <w:p w14:paraId="72B3DF93" w14:textId="77777777" w:rsidR="006B3D12" w:rsidRDefault="006B3D12" w:rsidP="00F96A66">
      <w:pPr>
        <w:spacing w:line="360" w:lineRule="auto"/>
        <w:jc w:val="both"/>
        <w:rPr>
          <w:rFonts w:ascii="Arial" w:hAnsi="Arial" w:cs="Arial"/>
          <w:sz w:val="22"/>
          <w:szCs w:val="22"/>
        </w:rPr>
      </w:pPr>
    </w:p>
    <w:p w14:paraId="65D0C0D0" w14:textId="77777777" w:rsidR="003A73D4" w:rsidRPr="008A3B77" w:rsidRDefault="003A73D4" w:rsidP="00F96A66">
      <w:pPr>
        <w:spacing w:line="360" w:lineRule="auto"/>
        <w:jc w:val="both"/>
        <w:rPr>
          <w:rFonts w:ascii="Arial" w:hAnsi="Arial" w:cs="Arial"/>
          <w:b/>
          <w:bCs/>
          <w:sz w:val="22"/>
          <w:szCs w:val="22"/>
        </w:rPr>
      </w:pPr>
      <w:r w:rsidRPr="008A3B77">
        <w:rPr>
          <w:rFonts w:ascii="Arial" w:hAnsi="Arial" w:cs="Arial"/>
          <w:b/>
          <w:bCs/>
          <w:sz w:val="22"/>
          <w:szCs w:val="22"/>
        </w:rPr>
        <w:t>Matter 4A: Transport</w:t>
      </w:r>
    </w:p>
    <w:p w14:paraId="207F8CD9" w14:textId="77777777" w:rsidR="003A73D4" w:rsidRDefault="003A73D4" w:rsidP="00F96A66">
      <w:pPr>
        <w:spacing w:line="360" w:lineRule="auto"/>
        <w:jc w:val="both"/>
        <w:rPr>
          <w:rFonts w:ascii="Arial" w:hAnsi="Arial" w:cs="Arial"/>
          <w:sz w:val="22"/>
          <w:szCs w:val="22"/>
        </w:rPr>
      </w:pPr>
    </w:p>
    <w:p w14:paraId="1481E686" w14:textId="4E1BEDD3" w:rsidR="003A73D4" w:rsidRPr="008A3B77" w:rsidRDefault="003A73D4" w:rsidP="00F96A66">
      <w:pPr>
        <w:spacing w:line="360" w:lineRule="auto"/>
        <w:jc w:val="both"/>
        <w:rPr>
          <w:rFonts w:ascii="Arial" w:hAnsi="Arial" w:cs="Arial"/>
          <w:b/>
          <w:bCs/>
          <w:sz w:val="22"/>
          <w:szCs w:val="22"/>
        </w:rPr>
      </w:pPr>
      <w:r w:rsidRPr="008A3B77">
        <w:rPr>
          <w:rFonts w:ascii="Arial" w:hAnsi="Arial" w:cs="Arial"/>
          <w:b/>
          <w:bCs/>
          <w:sz w:val="22"/>
          <w:szCs w:val="22"/>
        </w:rPr>
        <w:t>Issue: Would the Plan be effective in ensuring that any significant impacts from the development proposed on the transport network (in terms of capacity and congestion), or on highway safety, can be cost effectively mitigated to an acceptable degree?</w:t>
      </w:r>
    </w:p>
    <w:p w14:paraId="481379E1" w14:textId="77777777" w:rsidR="008A3B77" w:rsidRDefault="008A3B77" w:rsidP="00F96A66">
      <w:pPr>
        <w:spacing w:line="360" w:lineRule="auto"/>
        <w:jc w:val="both"/>
        <w:rPr>
          <w:rFonts w:ascii="Arial" w:hAnsi="Arial" w:cs="Arial"/>
          <w:b/>
          <w:bCs/>
          <w:sz w:val="22"/>
          <w:szCs w:val="22"/>
        </w:rPr>
      </w:pPr>
    </w:p>
    <w:p w14:paraId="567558ED" w14:textId="3FDE23E2" w:rsidR="003A73D4" w:rsidRPr="008A3B77" w:rsidRDefault="003A73D4" w:rsidP="00F96A66">
      <w:pPr>
        <w:spacing w:line="360" w:lineRule="auto"/>
        <w:jc w:val="both"/>
        <w:rPr>
          <w:rFonts w:ascii="Arial" w:hAnsi="Arial" w:cs="Arial"/>
          <w:b/>
          <w:bCs/>
          <w:sz w:val="22"/>
          <w:szCs w:val="22"/>
        </w:rPr>
      </w:pPr>
      <w:r w:rsidRPr="008A3B77">
        <w:rPr>
          <w:rFonts w:ascii="Arial" w:hAnsi="Arial" w:cs="Arial"/>
          <w:b/>
          <w:bCs/>
          <w:sz w:val="22"/>
          <w:szCs w:val="22"/>
        </w:rPr>
        <w:t>Issue: Are the individual transport policies clear, justified and consistent with national policy and will they be effective?</w:t>
      </w:r>
    </w:p>
    <w:p w14:paraId="04576A32" w14:textId="77777777" w:rsidR="003A73D4" w:rsidRPr="003A73D4" w:rsidRDefault="003A73D4" w:rsidP="00F96A66">
      <w:pPr>
        <w:spacing w:line="360" w:lineRule="auto"/>
        <w:jc w:val="both"/>
        <w:rPr>
          <w:rFonts w:ascii="Arial" w:hAnsi="Arial" w:cs="Arial"/>
          <w:sz w:val="22"/>
          <w:szCs w:val="22"/>
        </w:rPr>
      </w:pPr>
    </w:p>
    <w:p w14:paraId="6EE1696A" w14:textId="77777777" w:rsidR="003A73D4" w:rsidRPr="008A3B77" w:rsidRDefault="003A73D4" w:rsidP="00F96A66">
      <w:pPr>
        <w:spacing w:line="360" w:lineRule="auto"/>
        <w:jc w:val="both"/>
        <w:rPr>
          <w:rFonts w:ascii="Arial" w:hAnsi="Arial" w:cs="Arial"/>
          <w:b/>
          <w:bCs/>
          <w:sz w:val="22"/>
          <w:szCs w:val="22"/>
        </w:rPr>
      </w:pPr>
      <w:r w:rsidRPr="008A3B77">
        <w:rPr>
          <w:rFonts w:ascii="Arial" w:hAnsi="Arial" w:cs="Arial"/>
          <w:b/>
          <w:bCs/>
          <w:sz w:val="22"/>
          <w:szCs w:val="22"/>
        </w:rPr>
        <w:t>Transport evidence</w:t>
      </w:r>
    </w:p>
    <w:p w14:paraId="77B3F71C" w14:textId="77777777" w:rsidR="003A73D4" w:rsidRPr="003A73D4" w:rsidRDefault="003A73D4" w:rsidP="00F96A66">
      <w:pPr>
        <w:spacing w:line="360" w:lineRule="auto"/>
        <w:jc w:val="both"/>
        <w:rPr>
          <w:rFonts w:ascii="Arial" w:hAnsi="Arial" w:cs="Arial"/>
          <w:sz w:val="22"/>
          <w:szCs w:val="22"/>
        </w:rPr>
      </w:pPr>
    </w:p>
    <w:p w14:paraId="5896083C" w14:textId="77777777" w:rsidR="003A73D4" w:rsidRPr="004F48B2" w:rsidRDefault="003A73D4" w:rsidP="00F96A66">
      <w:pPr>
        <w:spacing w:line="360" w:lineRule="auto"/>
        <w:jc w:val="both"/>
        <w:rPr>
          <w:rFonts w:ascii="Arial" w:hAnsi="Arial" w:cs="Arial"/>
          <w:i/>
          <w:iCs/>
          <w:sz w:val="22"/>
          <w:szCs w:val="22"/>
          <w:u w:val="single"/>
        </w:rPr>
      </w:pPr>
      <w:r w:rsidRPr="004F48B2">
        <w:rPr>
          <w:rFonts w:ascii="Arial" w:hAnsi="Arial" w:cs="Arial"/>
          <w:i/>
          <w:iCs/>
          <w:sz w:val="22"/>
          <w:szCs w:val="22"/>
          <w:u w:val="single"/>
        </w:rPr>
        <w:t>Q.20 The Chichester Area transport model was updated in 2018, and further analysis and surveys were undertaken in November 2023 in order to verify its outputs and to attempt to confirm that the evidence may be relied upon. Is the Plan underpinned by relevant and up-to-date transport modelling evidence? Is this evidence adequate and proportionate?</w:t>
      </w:r>
    </w:p>
    <w:p w14:paraId="14A95993" w14:textId="1E33A30D" w:rsidR="008A3B77" w:rsidRDefault="008A3B77" w:rsidP="00F96A66">
      <w:pPr>
        <w:spacing w:line="360" w:lineRule="auto"/>
        <w:jc w:val="both"/>
        <w:rPr>
          <w:rFonts w:ascii="Arial" w:hAnsi="Arial" w:cs="Arial"/>
          <w:sz w:val="22"/>
          <w:szCs w:val="22"/>
        </w:rPr>
      </w:pPr>
    </w:p>
    <w:p w14:paraId="63CB6ECB" w14:textId="34EABE45" w:rsidR="00676CC1" w:rsidRDefault="00020AFB" w:rsidP="00F96A66">
      <w:pPr>
        <w:spacing w:line="360" w:lineRule="auto"/>
        <w:jc w:val="both"/>
        <w:rPr>
          <w:rFonts w:ascii="Arial" w:hAnsi="Arial" w:cs="Arial"/>
          <w:sz w:val="22"/>
          <w:szCs w:val="22"/>
        </w:rPr>
      </w:pPr>
      <w:r>
        <w:rPr>
          <w:rFonts w:ascii="Arial" w:hAnsi="Arial" w:cs="Arial"/>
          <w:sz w:val="22"/>
          <w:szCs w:val="22"/>
        </w:rPr>
        <w:t xml:space="preserve">From discussions with our members HBF are concerned that the </w:t>
      </w:r>
      <w:r w:rsidR="007A1B33">
        <w:rPr>
          <w:rFonts w:ascii="Arial" w:hAnsi="Arial" w:cs="Arial"/>
          <w:sz w:val="22"/>
          <w:szCs w:val="22"/>
        </w:rPr>
        <w:t xml:space="preserve">transport </w:t>
      </w:r>
      <w:r w:rsidR="00D46889">
        <w:rPr>
          <w:rFonts w:ascii="Arial" w:hAnsi="Arial" w:cs="Arial"/>
          <w:sz w:val="22"/>
          <w:szCs w:val="22"/>
        </w:rPr>
        <w:t xml:space="preserve">evidence </w:t>
      </w:r>
      <w:r w:rsidR="007A1B33">
        <w:rPr>
          <w:rFonts w:ascii="Arial" w:hAnsi="Arial" w:cs="Arial"/>
          <w:sz w:val="22"/>
          <w:szCs w:val="22"/>
        </w:rPr>
        <w:t xml:space="preserve">is overly pessimistic and </w:t>
      </w:r>
      <w:r w:rsidR="00B16B44">
        <w:rPr>
          <w:rFonts w:ascii="Arial" w:hAnsi="Arial" w:cs="Arial"/>
          <w:sz w:val="22"/>
          <w:szCs w:val="22"/>
        </w:rPr>
        <w:t xml:space="preserve">appears to </w:t>
      </w:r>
      <w:r w:rsidR="007805DC">
        <w:rPr>
          <w:rFonts w:ascii="Arial" w:hAnsi="Arial" w:cs="Arial"/>
          <w:sz w:val="22"/>
          <w:szCs w:val="22"/>
        </w:rPr>
        <w:t>consider the</w:t>
      </w:r>
      <w:r w:rsidR="007A1B33">
        <w:rPr>
          <w:rFonts w:ascii="Arial" w:hAnsi="Arial" w:cs="Arial"/>
          <w:sz w:val="22"/>
          <w:szCs w:val="22"/>
        </w:rPr>
        <w:t xml:space="preserve"> </w:t>
      </w:r>
      <w:r w:rsidR="00FF09F2">
        <w:rPr>
          <w:rFonts w:ascii="Arial" w:hAnsi="Arial" w:cs="Arial"/>
          <w:sz w:val="22"/>
          <w:szCs w:val="22"/>
        </w:rPr>
        <w:t>worst-case</w:t>
      </w:r>
      <w:r w:rsidR="007A1B33">
        <w:rPr>
          <w:rFonts w:ascii="Arial" w:hAnsi="Arial" w:cs="Arial"/>
          <w:sz w:val="22"/>
          <w:szCs w:val="22"/>
        </w:rPr>
        <w:t xml:space="preserve"> scenario. One example of these concerns is in relation to the trip rat</w:t>
      </w:r>
      <w:r w:rsidR="002536B4">
        <w:rPr>
          <w:rFonts w:ascii="Arial" w:hAnsi="Arial" w:cs="Arial"/>
          <w:sz w:val="22"/>
          <w:szCs w:val="22"/>
        </w:rPr>
        <w:t>e</w:t>
      </w:r>
      <w:r w:rsidR="007A1B33">
        <w:rPr>
          <w:rFonts w:ascii="Arial" w:hAnsi="Arial" w:cs="Arial"/>
          <w:sz w:val="22"/>
          <w:szCs w:val="22"/>
        </w:rPr>
        <w:t>s used within</w:t>
      </w:r>
      <w:r w:rsidR="007664A0">
        <w:rPr>
          <w:rFonts w:ascii="Arial" w:hAnsi="Arial" w:cs="Arial"/>
          <w:sz w:val="22"/>
          <w:szCs w:val="22"/>
        </w:rPr>
        <w:t xml:space="preserve"> </w:t>
      </w:r>
      <w:r w:rsidR="007A1B33">
        <w:rPr>
          <w:rFonts w:ascii="Arial" w:hAnsi="Arial" w:cs="Arial"/>
          <w:sz w:val="22"/>
          <w:szCs w:val="22"/>
        </w:rPr>
        <w:t xml:space="preserve">the study. Then most recent update for example uses a trip </w:t>
      </w:r>
      <w:r w:rsidR="00D46889">
        <w:rPr>
          <w:rFonts w:ascii="Arial" w:hAnsi="Arial" w:cs="Arial"/>
          <w:sz w:val="22"/>
          <w:szCs w:val="22"/>
        </w:rPr>
        <w:t>rate</w:t>
      </w:r>
      <w:r w:rsidR="007664A0">
        <w:rPr>
          <w:rFonts w:ascii="Arial" w:hAnsi="Arial" w:cs="Arial"/>
          <w:sz w:val="22"/>
          <w:szCs w:val="22"/>
        </w:rPr>
        <w:t xml:space="preserve"> agreed between WSCC and NH </w:t>
      </w:r>
      <w:r w:rsidR="005721FC">
        <w:rPr>
          <w:rFonts w:ascii="Arial" w:hAnsi="Arial" w:cs="Arial"/>
          <w:sz w:val="22"/>
          <w:szCs w:val="22"/>
        </w:rPr>
        <w:t>which are s</w:t>
      </w:r>
      <w:r w:rsidR="00D46889">
        <w:rPr>
          <w:rFonts w:ascii="Arial" w:hAnsi="Arial" w:cs="Arial"/>
          <w:sz w:val="22"/>
          <w:szCs w:val="22"/>
        </w:rPr>
        <w:t>e</w:t>
      </w:r>
      <w:r w:rsidR="005721FC">
        <w:rPr>
          <w:rFonts w:ascii="Arial" w:hAnsi="Arial" w:cs="Arial"/>
          <w:sz w:val="22"/>
          <w:szCs w:val="22"/>
        </w:rPr>
        <w:t xml:space="preserve">t out in </w:t>
      </w:r>
      <w:r w:rsidR="00D46889">
        <w:rPr>
          <w:rFonts w:ascii="Arial" w:hAnsi="Arial" w:cs="Arial"/>
          <w:sz w:val="22"/>
          <w:szCs w:val="22"/>
        </w:rPr>
        <w:t>table</w:t>
      </w:r>
      <w:r w:rsidR="005721FC">
        <w:rPr>
          <w:rFonts w:ascii="Arial" w:hAnsi="Arial" w:cs="Arial"/>
          <w:sz w:val="22"/>
          <w:szCs w:val="22"/>
        </w:rPr>
        <w:t xml:space="preserve"> 6-2 and show total trip rates of 0.472 for the </w:t>
      </w:r>
      <w:r w:rsidR="00D46889">
        <w:rPr>
          <w:rFonts w:ascii="Arial" w:hAnsi="Arial" w:cs="Arial"/>
          <w:sz w:val="22"/>
          <w:szCs w:val="22"/>
        </w:rPr>
        <w:t xml:space="preserve">AM and 0.477 for the PM. </w:t>
      </w:r>
      <w:r w:rsidR="00DB1F16">
        <w:rPr>
          <w:rFonts w:ascii="Arial" w:hAnsi="Arial" w:cs="Arial"/>
          <w:sz w:val="22"/>
          <w:szCs w:val="22"/>
        </w:rPr>
        <w:t xml:space="preserve">These are higher than </w:t>
      </w:r>
      <w:r w:rsidR="000C7D68">
        <w:rPr>
          <w:rFonts w:ascii="Arial" w:hAnsi="Arial" w:cs="Arial"/>
          <w:sz w:val="22"/>
          <w:szCs w:val="22"/>
        </w:rPr>
        <w:t xml:space="preserve">recent evidence </w:t>
      </w:r>
      <w:r w:rsidR="00B06B94">
        <w:rPr>
          <w:rFonts w:ascii="Arial" w:hAnsi="Arial" w:cs="Arial"/>
          <w:sz w:val="22"/>
          <w:szCs w:val="22"/>
        </w:rPr>
        <w:t>published</w:t>
      </w:r>
      <w:r w:rsidR="000C7D68">
        <w:rPr>
          <w:rFonts w:ascii="Arial" w:hAnsi="Arial" w:cs="Arial"/>
          <w:sz w:val="22"/>
          <w:szCs w:val="22"/>
        </w:rPr>
        <w:t xml:space="preserve"> by TRICs </w:t>
      </w:r>
      <w:r w:rsidR="005A74B0">
        <w:rPr>
          <w:rFonts w:ascii="Arial" w:hAnsi="Arial" w:cs="Arial"/>
          <w:sz w:val="22"/>
          <w:szCs w:val="22"/>
        </w:rPr>
        <w:t xml:space="preserve">in 2022 </w:t>
      </w:r>
      <w:r w:rsidR="000C7D68">
        <w:rPr>
          <w:rFonts w:ascii="Arial" w:hAnsi="Arial" w:cs="Arial"/>
          <w:sz w:val="22"/>
          <w:szCs w:val="22"/>
        </w:rPr>
        <w:t xml:space="preserve">which notes that for the mixed housing developments </w:t>
      </w:r>
      <w:r w:rsidR="00B06B94">
        <w:rPr>
          <w:rFonts w:ascii="Arial" w:hAnsi="Arial" w:cs="Arial"/>
          <w:sz w:val="22"/>
          <w:szCs w:val="22"/>
        </w:rPr>
        <w:t>category</w:t>
      </w:r>
      <w:r w:rsidR="000C7D68">
        <w:rPr>
          <w:rFonts w:ascii="Arial" w:hAnsi="Arial" w:cs="Arial"/>
          <w:sz w:val="22"/>
          <w:szCs w:val="22"/>
        </w:rPr>
        <w:t xml:space="preserve"> used in the </w:t>
      </w:r>
      <w:r w:rsidR="00B06B94">
        <w:rPr>
          <w:rFonts w:ascii="Arial" w:hAnsi="Arial" w:cs="Arial"/>
          <w:sz w:val="22"/>
          <w:szCs w:val="22"/>
        </w:rPr>
        <w:t>Councils’</w:t>
      </w:r>
      <w:r w:rsidR="000C7D68">
        <w:rPr>
          <w:rFonts w:ascii="Arial" w:hAnsi="Arial" w:cs="Arial"/>
          <w:sz w:val="22"/>
          <w:szCs w:val="22"/>
        </w:rPr>
        <w:t xml:space="preserve"> TA</w:t>
      </w:r>
      <w:r w:rsidR="00B06B94">
        <w:rPr>
          <w:rFonts w:ascii="Arial" w:hAnsi="Arial" w:cs="Arial"/>
          <w:sz w:val="22"/>
          <w:szCs w:val="22"/>
        </w:rPr>
        <w:t xml:space="preserve"> is 0.422 for the AM peak and </w:t>
      </w:r>
      <w:r w:rsidR="00ED004A">
        <w:rPr>
          <w:rFonts w:ascii="Arial" w:hAnsi="Arial" w:cs="Arial"/>
          <w:sz w:val="22"/>
          <w:szCs w:val="22"/>
        </w:rPr>
        <w:t xml:space="preserve">0.414 for the PM peak. </w:t>
      </w:r>
      <w:r w:rsidR="00CF4966">
        <w:rPr>
          <w:rFonts w:ascii="Arial" w:hAnsi="Arial" w:cs="Arial"/>
          <w:sz w:val="22"/>
          <w:szCs w:val="22"/>
        </w:rPr>
        <w:t xml:space="preserve">We would also </w:t>
      </w:r>
      <w:r w:rsidR="004171BA">
        <w:rPr>
          <w:rFonts w:ascii="Arial" w:hAnsi="Arial" w:cs="Arial"/>
          <w:sz w:val="22"/>
          <w:szCs w:val="22"/>
        </w:rPr>
        <w:t xml:space="preserve">aware of evidence submitted by our members that </w:t>
      </w:r>
      <w:r w:rsidR="0045633C">
        <w:rPr>
          <w:rFonts w:ascii="Arial" w:hAnsi="Arial" w:cs="Arial"/>
          <w:sz w:val="22"/>
          <w:szCs w:val="22"/>
        </w:rPr>
        <w:t>highlight</w:t>
      </w:r>
      <w:r w:rsidR="004171BA">
        <w:rPr>
          <w:rFonts w:ascii="Arial" w:hAnsi="Arial" w:cs="Arial"/>
          <w:sz w:val="22"/>
          <w:szCs w:val="22"/>
        </w:rPr>
        <w:t xml:space="preserve"> that others areas in Sussex </w:t>
      </w:r>
      <w:r w:rsidR="00272578">
        <w:rPr>
          <w:rFonts w:ascii="Arial" w:hAnsi="Arial" w:cs="Arial"/>
          <w:sz w:val="22"/>
          <w:szCs w:val="22"/>
        </w:rPr>
        <w:t xml:space="preserve">are using lower trip rates </w:t>
      </w:r>
      <w:r w:rsidR="0045633C">
        <w:rPr>
          <w:rFonts w:ascii="Arial" w:hAnsi="Arial" w:cs="Arial"/>
          <w:sz w:val="22"/>
          <w:szCs w:val="22"/>
        </w:rPr>
        <w:t xml:space="preserve">compared to </w:t>
      </w:r>
      <w:r w:rsidR="00E03264">
        <w:rPr>
          <w:rFonts w:ascii="Arial" w:hAnsi="Arial" w:cs="Arial"/>
          <w:sz w:val="22"/>
          <w:szCs w:val="22"/>
        </w:rPr>
        <w:t>those used in Chichester.</w:t>
      </w:r>
    </w:p>
    <w:p w14:paraId="05A95CE8" w14:textId="77777777" w:rsidR="00676CC1" w:rsidRDefault="00676CC1" w:rsidP="00F96A66">
      <w:pPr>
        <w:spacing w:line="360" w:lineRule="auto"/>
        <w:jc w:val="both"/>
        <w:rPr>
          <w:rFonts w:ascii="Arial" w:hAnsi="Arial" w:cs="Arial"/>
          <w:sz w:val="22"/>
          <w:szCs w:val="22"/>
        </w:rPr>
      </w:pPr>
    </w:p>
    <w:p w14:paraId="140D9BDA" w14:textId="566EA55A" w:rsidR="00AA7FF3" w:rsidRDefault="00ED004A" w:rsidP="00F96A66">
      <w:pPr>
        <w:spacing w:line="360" w:lineRule="auto"/>
        <w:jc w:val="both"/>
        <w:rPr>
          <w:rFonts w:ascii="Arial" w:hAnsi="Arial" w:cs="Arial"/>
          <w:sz w:val="22"/>
          <w:szCs w:val="22"/>
        </w:rPr>
      </w:pPr>
      <w:r>
        <w:rPr>
          <w:rFonts w:ascii="Arial" w:hAnsi="Arial" w:cs="Arial"/>
          <w:sz w:val="22"/>
          <w:szCs w:val="22"/>
        </w:rPr>
        <w:t xml:space="preserve">What is also notable </w:t>
      </w:r>
      <w:r w:rsidR="00934545">
        <w:rPr>
          <w:rFonts w:ascii="Arial" w:hAnsi="Arial" w:cs="Arial"/>
          <w:sz w:val="22"/>
          <w:szCs w:val="22"/>
        </w:rPr>
        <w:t xml:space="preserve">from this research is that the peak trips have been reducing overtime with </w:t>
      </w:r>
      <w:r w:rsidR="001B2420">
        <w:rPr>
          <w:rFonts w:ascii="Arial" w:hAnsi="Arial" w:cs="Arial"/>
          <w:sz w:val="22"/>
          <w:szCs w:val="22"/>
        </w:rPr>
        <w:t xml:space="preserve">the average trip rate reducing </w:t>
      </w:r>
      <w:r w:rsidR="00435AC5">
        <w:rPr>
          <w:rFonts w:ascii="Arial" w:hAnsi="Arial" w:cs="Arial"/>
          <w:sz w:val="22"/>
          <w:szCs w:val="22"/>
        </w:rPr>
        <w:t>by 5.4%</w:t>
      </w:r>
      <w:r w:rsidR="00AC1E5D">
        <w:rPr>
          <w:rFonts w:ascii="Arial" w:hAnsi="Arial" w:cs="Arial"/>
          <w:sz w:val="22"/>
          <w:szCs w:val="22"/>
        </w:rPr>
        <w:t xml:space="preserve"> between 20</w:t>
      </w:r>
      <w:r w:rsidR="0042322C">
        <w:rPr>
          <w:rFonts w:ascii="Arial" w:hAnsi="Arial" w:cs="Arial"/>
          <w:sz w:val="22"/>
          <w:szCs w:val="22"/>
        </w:rPr>
        <w:t>01</w:t>
      </w:r>
      <w:r w:rsidR="006D1D11">
        <w:rPr>
          <w:rFonts w:ascii="Arial" w:hAnsi="Arial" w:cs="Arial"/>
          <w:sz w:val="22"/>
          <w:szCs w:val="22"/>
        </w:rPr>
        <w:t>-2011 period and the</w:t>
      </w:r>
      <w:r w:rsidR="00AC1E5D">
        <w:rPr>
          <w:rFonts w:ascii="Arial" w:hAnsi="Arial" w:cs="Arial"/>
          <w:sz w:val="22"/>
          <w:szCs w:val="22"/>
        </w:rPr>
        <w:t xml:space="preserve"> </w:t>
      </w:r>
      <w:r w:rsidR="006D1D11">
        <w:rPr>
          <w:rFonts w:ascii="Arial" w:hAnsi="Arial" w:cs="Arial"/>
          <w:sz w:val="22"/>
          <w:szCs w:val="22"/>
        </w:rPr>
        <w:t xml:space="preserve">2011 to </w:t>
      </w:r>
      <w:r w:rsidR="00AC1E5D">
        <w:rPr>
          <w:rFonts w:ascii="Arial" w:hAnsi="Arial" w:cs="Arial"/>
          <w:sz w:val="22"/>
          <w:szCs w:val="22"/>
        </w:rPr>
        <w:t>2021</w:t>
      </w:r>
      <w:r w:rsidR="006D1D11">
        <w:rPr>
          <w:rFonts w:ascii="Arial" w:hAnsi="Arial" w:cs="Arial"/>
          <w:sz w:val="22"/>
          <w:szCs w:val="22"/>
        </w:rPr>
        <w:t xml:space="preserve"> period. </w:t>
      </w:r>
      <w:r w:rsidR="001B0D81">
        <w:rPr>
          <w:rFonts w:ascii="Arial" w:hAnsi="Arial" w:cs="Arial"/>
          <w:sz w:val="22"/>
          <w:szCs w:val="22"/>
        </w:rPr>
        <w:t xml:space="preserve">HBF are concerned that </w:t>
      </w:r>
      <w:r w:rsidR="00902944">
        <w:rPr>
          <w:rFonts w:ascii="Arial" w:hAnsi="Arial" w:cs="Arial"/>
          <w:sz w:val="22"/>
          <w:szCs w:val="22"/>
        </w:rPr>
        <w:t xml:space="preserve">similar behavioural changes that </w:t>
      </w:r>
      <w:r w:rsidR="00663F0D">
        <w:rPr>
          <w:rFonts w:ascii="Arial" w:hAnsi="Arial" w:cs="Arial"/>
          <w:sz w:val="22"/>
          <w:szCs w:val="22"/>
        </w:rPr>
        <w:t>will</w:t>
      </w:r>
      <w:r w:rsidR="00902944">
        <w:rPr>
          <w:rFonts w:ascii="Arial" w:hAnsi="Arial" w:cs="Arial"/>
          <w:sz w:val="22"/>
          <w:szCs w:val="22"/>
        </w:rPr>
        <w:t xml:space="preserve"> have taken place in Chichester may </w:t>
      </w:r>
      <w:r w:rsidR="00663F0D">
        <w:rPr>
          <w:rFonts w:ascii="Arial" w:hAnsi="Arial" w:cs="Arial"/>
          <w:sz w:val="22"/>
          <w:szCs w:val="22"/>
        </w:rPr>
        <w:t>not</w:t>
      </w:r>
      <w:r w:rsidR="00902944">
        <w:rPr>
          <w:rFonts w:ascii="Arial" w:hAnsi="Arial" w:cs="Arial"/>
          <w:sz w:val="22"/>
          <w:szCs w:val="22"/>
        </w:rPr>
        <w:t xml:space="preserve"> be account</w:t>
      </w:r>
      <w:r w:rsidR="00F656E1">
        <w:rPr>
          <w:rFonts w:ascii="Arial" w:hAnsi="Arial" w:cs="Arial"/>
          <w:sz w:val="22"/>
          <w:szCs w:val="22"/>
        </w:rPr>
        <w:t xml:space="preserve">ed for due to the TA </w:t>
      </w:r>
      <w:r w:rsidR="00663F0D">
        <w:rPr>
          <w:rFonts w:ascii="Arial" w:hAnsi="Arial" w:cs="Arial"/>
          <w:sz w:val="22"/>
          <w:szCs w:val="22"/>
        </w:rPr>
        <w:t>using</w:t>
      </w:r>
      <w:r w:rsidR="00462D67">
        <w:rPr>
          <w:rFonts w:ascii="Arial" w:hAnsi="Arial" w:cs="Arial"/>
          <w:sz w:val="22"/>
          <w:szCs w:val="22"/>
        </w:rPr>
        <w:t xml:space="preserve"> a 2014 baseline</w:t>
      </w:r>
      <w:r w:rsidR="007E2B51">
        <w:rPr>
          <w:rFonts w:ascii="Arial" w:hAnsi="Arial" w:cs="Arial"/>
          <w:sz w:val="22"/>
          <w:szCs w:val="22"/>
        </w:rPr>
        <w:t xml:space="preserve"> for </w:t>
      </w:r>
      <w:r w:rsidR="007767A7">
        <w:rPr>
          <w:rFonts w:ascii="Arial" w:hAnsi="Arial" w:cs="Arial"/>
          <w:sz w:val="22"/>
          <w:szCs w:val="22"/>
        </w:rPr>
        <w:t>its</w:t>
      </w:r>
      <w:r w:rsidR="007E2B51">
        <w:rPr>
          <w:rFonts w:ascii="Arial" w:hAnsi="Arial" w:cs="Arial"/>
          <w:sz w:val="22"/>
          <w:szCs w:val="22"/>
        </w:rPr>
        <w:t xml:space="preserve"> data. The TA states that </w:t>
      </w:r>
      <w:r w:rsidR="00155737">
        <w:rPr>
          <w:rFonts w:ascii="Arial" w:hAnsi="Arial" w:cs="Arial"/>
          <w:sz w:val="22"/>
          <w:szCs w:val="22"/>
        </w:rPr>
        <w:t>the 2014 and 20</w:t>
      </w:r>
      <w:r w:rsidR="0070580C">
        <w:rPr>
          <w:rFonts w:ascii="Arial" w:hAnsi="Arial" w:cs="Arial"/>
          <w:sz w:val="22"/>
          <w:szCs w:val="22"/>
        </w:rPr>
        <w:t>2</w:t>
      </w:r>
      <w:r w:rsidR="00155737">
        <w:rPr>
          <w:rFonts w:ascii="Arial" w:hAnsi="Arial" w:cs="Arial"/>
          <w:sz w:val="22"/>
          <w:szCs w:val="22"/>
        </w:rPr>
        <w:t>3 are comparable thus supporting he 2014 model</w:t>
      </w:r>
      <w:r w:rsidR="0070580C">
        <w:rPr>
          <w:rFonts w:ascii="Arial" w:hAnsi="Arial" w:cs="Arial"/>
          <w:sz w:val="22"/>
          <w:szCs w:val="22"/>
        </w:rPr>
        <w:t xml:space="preserve">. </w:t>
      </w:r>
      <w:r w:rsidR="007767A7">
        <w:rPr>
          <w:rFonts w:ascii="Arial" w:hAnsi="Arial" w:cs="Arial"/>
          <w:sz w:val="22"/>
          <w:szCs w:val="22"/>
        </w:rPr>
        <w:t>However,</w:t>
      </w:r>
      <w:r w:rsidR="0070580C">
        <w:rPr>
          <w:rFonts w:ascii="Arial" w:hAnsi="Arial" w:cs="Arial"/>
          <w:sz w:val="22"/>
          <w:szCs w:val="22"/>
        </w:rPr>
        <w:t xml:space="preserve"> this would appear </w:t>
      </w:r>
      <w:r w:rsidR="007767A7">
        <w:rPr>
          <w:rFonts w:ascii="Arial" w:hAnsi="Arial" w:cs="Arial"/>
          <w:sz w:val="22"/>
          <w:szCs w:val="22"/>
        </w:rPr>
        <w:t>to</w:t>
      </w:r>
      <w:r w:rsidR="0070580C">
        <w:rPr>
          <w:rFonts w:ascii="Arial" w:hAnsi="Arial" w:cs="Arial"/>
          <w:sz w:val="22"/>
          <w:szCs w:val="22"/>
        </w:rPr>
        <w:t xml:space="preserve"> be undermined by the TA itself which </w:t>
      </w:r>
      <w:r w:rsidR="001D58A9">
        <w:rPr>
          <w:rFonts w:ascii="Arial" w:hAnsi="Arial" w:cs="Arial"/>
          <w:sz w:val="22"/>
          <w:szCs w:val="22"/>
        </w:rPr>
        <w:t>hig</w:t>
      </w:r>
      <w:r w:rsidR="00D052C7">
        <w:rPr>
          <w:rFonts w:ascii="Arial" w:hAnsi="Arial" w:cs="Arial"/>
          <w:sz w:val="22"/>
          <w:szCs w:val="22"/>
        </w:rPr>
        <w:t>hlights</w:t>
      </w:r>
      <w:r w:rsidR="004F0DE2">
        <w:rPr>
          <w:rFonts w:ascii="Arial" w:hAnsi="Arial" w:cs="Arial"/>
          <w:sz w:val="22"/>
          <w:szCs w:val="22"/>
        </w:rPr>
        <w:t xml:space="preserve"> </w:t>
      </w:r>
      <w:r w:rsidR="00D052C7">
        <w:rPr>
          <w:rFonts w:ascii="Arial" w:hAnsi="Arial" w:cs="Arial"/>
          <w:sz w:val="22"/>
          <w:szCs w:val="22"/>
        </w:rPr>
        <w:t xml:space="preserve">in Appendix B Figure 7 </w:t>
      </w:r>
      <w:r w:rsidR="000003E8">
        <w:rPr>
          <w:rFonts w:ascii="Arial" w:hAnsi="Arial" w:cs="Arial"/>
          <w:sz w:val="22"/>
          <w:szCs w:val="22"/>
        </w:rPr>
        <w:t xml:space="preserve">not insignificant </w:t>
      </w:r>
      <w:r w:rsidR="00421C32">
        <w:rPr>
          <w:rFonts w:ascii="Arial" w:hAnsi="Arial" w:cs="Arial"/>
          <w:sz w:val="22"/>
          <w:szCs w:val="22"/>
        </w:rPr>
        <w:t>reductions in flows between 2014 and 2023</w:t>
      </w:r>
      <w:r w:rsidR="001D58A9">
        <w:rPr>
          <w:rFonts w:ascii="Arial" w:hAnsi="Arial" w:cs="Arial"/>
          <w:sz w:val="22"/>
          <w:szCs w:val="22"/>
        </w:rPr>
        <w:t xml:space="preserve"> </w:t>
      </w:r>
      <w:r w:rsidR="00266F95">
        <w:rPr>
          <w:rFonts w:ascii="Arial" w:hAnsi="Arial" w:cs="Arial"/>
          <w:sz w:val="22"/>
          <w:szCs w:val="22"/>
        </w:rPr>
        <w:t xml:space="preserve">at the Fishbourne and </w:t>
      </w:r>
      <w:r w:rsidR="000003E8">
        <w:rPr>
          <w:rFonts w:ascii="Arial" w:hAnsi="Arial" w:cs="Arial"/>
          <w:sz w:val="22"/>
          <w:szCs w:val="22"/>
        </w:rPr>
        <w:t>Stockbridge</w:t>
      </w:r>
      <w:r w:rsidR="00266F95">
        <w:rPr>
          <w:rFonts w:ascii="Arial" w:hAnsi="Arial" w:cs="Arial"/>
          <w:sz w:val="22"/>
          <w:szCs w:val="22"/>
        </w:rPr>
        <w:t xml:space="preserve"> roundabout</w:t>
      </w:r>
    </w:p>
    <w:p w14:paraId="36FEAC66" w14:textId="77777777" w:rsidR="00435AC5" w:rsidRDefault="00435AC5" w:rsidP="00F96A66">
      <w:pPr>
        <w:spacing w:line="360" w:lineRule="auto"/>
        <w:jc w:val="both"/>
        <w:rPr>
          <w:rFonts w:ascii="Arial" w:hAnsi="Arial" w:cs="Arial"/>
          <w:sz w:val="22"/>
          <w:szCs w:val="22"/>
        </w:rPr>
      </w:pPr>
    </w:p>
    <w:p w14:paraId="3A2218B7" w14:textId="05D38498" w:rsidR="009D3483" w:rsidRDefault="00435AC5" w:rsidP="00F96A66">
      <w:pPr>
        <w:spacing w:line="360" w:lineRule="auto"/>
        <w:jc w:val="both"/>
        <w:rPr>
          <w:rFonts w:ascii="Arial" w:hAnsi="Arial" w:cs="Arial"/>
          <w:sz w:val="22"/>
          <w:szCs w:val="22"/>
        </w:rPr>
      </w:pPr>
      <w:r>
        <w:rPr>
          <w:rFonts w:ascii="Arial" w:hAnsi="Arial" w:cs="Arial"/>
          <w:sz w:val="22"/>
          <w:szCs w:val="22"/>
        </w:rPr>
        <w:t xml:space="preserve">Whilst there will be local circumstances to take into account it would appear that the Council </w:t>
      </w:r>
      <w:r w:rsidR="00EA70F1">
        <w:rPr>
          <w:rFonts w:ascii="Arial" w:hAnsi="Arial" w:cs="Arial"/>
          <w:sz w:val="22"/>
          <w:szCs w:val="22"/>
        </w:rPr>
        <w:t xml:space="preserve">have </w:t>
      </w:r>
      <w:r w:rsidR="000530F6">
        <w:rPr>
          <w:rFonts w:ascii="Arial" w:hAnsi="Arial" w:cs="Arial"/>
          <w:sz w:val="22"/>
          <w:szCs w:val="22"/>
        </w:rPr>
        <w:t>used a relatively high trip rate</w:t>
      </w:r>
      <w:r w:rsidR="00DB20F7">
        <w:rPr>
          <w:rFonts w:ascii="Arial" w:hAnsi="Arial" w:cs="Arial"/>
          <w:sz w:val="22"/>
          <w:szCs w:val="22"/>
        </w:rPr>
        <w:t xml:space="preserve">. Over the life time of this </w:t>
      </w:r>
      <w:r w:rsidR="005962A6">
        <w:rPr>
          <w:rFonts w:ascii="Arial" w:hAnsi="Arial" w:cs="Arial"/>
          <w:sz w:val="22"/>
          <w:szCs w:val="22"/>
        </w:rPr>
        <w:t>plan,</w:t>
      </w:r>
      <w:r w:rsidR="00DB20F7">
        <w:rPr>
          <w:rFonts w:ascii="Arial" w:hAnsi="Arial" w:cs="Arial"/>
          <w:sz w:val="22"/>
          <w:szCs w:val="22"/>
        </w:rPr>
        <w:t xml:space="preserve"> it is likely that </w:t>
      </w:r>
      <w:r w:rsidR="00C417F1">
        <w:rPr>
          <w:rFonts w:ascii="Arial" w:hAnsi="Arial" w:cs="Arial"/>
          <w:sz w:val="22"/>
          <w:szCs w:val="22"/>
        </w:rPr>
        <w:t xml:space="preserve">trip rates will be lower </w:t>
      </w:r>
      <w:r w:rsidR="00DB20F7">
        <w:rPr>
          <w:rFonts w:ascii="Arial" w:hAnsi="Arial" w:cs="Arial"/>
          <w:sz w:val="22"/>
          <w:szCs w:val="22"/>
        </w:rPr>
        <w:t xml:space="preserve">as more of the population </w:t>
      </w:r>
      <w:r w:rsidR="005962A6">
        <w:rPr>
          <w:rFonts w:ascii="Arial" w:hAnsi="Arial" w:cs="Arial"/>
          <w:sz w:val="22"/>
          <w:szCs w:val="22"/>
        </w:rPr>
        <w:t>works from home reducing peak hour travel</w:t>
      </w:r>
      <w:r w:rsidR="00320883">
        <w:rPr>
          <w:rFonts w:ascii="Arial" w:hAnsi="Arial" w:cs="Arial"/>
          <w:sz w:val="22"/>
          <w:szCs w:val="22"/>
        </w:rPr>
        <w:t xml:space="preserve"> further</w:t>
      </w:r>
      <w:r w:rsidR="005962A6">
        <w:rPr>
          <w:rFonts w:ascii="Arial" w:hAnsi="Arial" w:cs="Arial"/>
          <w:sz w:val="22"/>
          <w:szCs w:val="22"/>
        </w:rPr>
        <w:t>. In addition, increased flexibility with working hours and the</w:t>
      </w:r>
      <w:r w:rsidR="0023090A">
        <w:rPr>
          <w:rFonts w:ascii="Arial" w:hAnsi="Arial" w:cs="Arial"/>
          <w:sz w:val="22"/>
          <w:szCs w:val="22"/>
        </w:rPr>
        <w:t xml:space="preserve"> growth of home </w:t>
      </w:r>
      <w:r w:rsidR="0023090A" w:rsidRPr="00F96A66">
        <w:rPr>
          <w:rFonts w:asciiTheme="minorHAnsi" w:hAnsiTheme="minorHAnsi" w:cstheme="minorHAnsi"/>
          <w:sz w:val="22"/>
          <w:szCs w:val="22"/>
        </w:rPr>
        <w:t>delivery</w:t>
      </w:r>
      <w:r w:rsidR="0023090A">
        <w:rPr>
          <w:rFonts w:ascii="Arial" w:hAnsi="Arial" w:cs="Arial"/>
          <w:sz w:val="22"/>
          <w:szCs w:val="22"/>
        </w:rPr>
        <w:t xml:space="preserve"> will also change travel patterns with fewer peak hour journey</w:t>
      </w:r>
      <w:r w:rsidR="00325078">
        <w:rPr>
          <w:rFonts w:ascii="Arial" w:hAnsi="Arial" w:cs="Arial"/>
          <w:sz w:val="22"/>
          <w:szCs w:val="22"/>
        </w:rPr>
        <w:t>s.</w:t>
      </w:r>
      <w:r w:rsidR="00E139EB">
        <w:rPr>
          <w:rFonts w:ascii="Arial" w:hAnsi="Arial" w:cs="Arial"/>
          <w:sz w:val="22"/>
          <w:szCs w:val="22"/>
        </w:rPr>
        <w:t xml:space="preserve"> </w:t>
      </w:r>
      <w:r w:rsidR="00306D80">
        <w:rPr>
          <w:rFonts w:ascii="Arial" w:hAnsi="Arial" w:cs="Arial"/>
          <w:sz w:val="22"/>
          <w:szCs w:val="22"/>
        </w:rPr>
        <w:t xml:space="preserve"> </w:t>
      </w:r>
      <w:r w:rsidR="000E4D34">
        <w:rPr>
          <w:rFonts w:ascii="Arial" w:hAnsi="Arial" w:cs="Arial"/>
          <w:sz w:val="22"/>
          <w:szCs w:val="22"/>
        </w:rPr>
        <w:t xml:space="preserve">The Council have recognised this to some extent with a </w:t>
      </w:r>
      <w:r w:rsidR="005A6C91">
        <w:rPr>
          <w:rFonts w:ascii="Arial" w:hAnsi="Arial" w:cs="Arial"/>
          <w:sz w:val="22"/>
          <w:szCs w:val="22"/>
        </w:rPr>
        <w:t xml:space="preserve">5% reduction on strategic sites to take account of </w:t>
      </w:r>
      <w:r w:rsidR="005865A9">
        <w:rPr>
          <w:rFonts w:ascii="Arial" w:hAnsi="Arial" w:cs="Arial"/>
          <w:sz w:val="22"/>
          <w:szCs w:val="22"/>
        </w:rPr>
        <w:t xml:space="preserve">development specific </w:t>
      </w:r>
      <w:r w:rsidR="00FE75D7">
        <w:rPr>
          <w:rFonts w:ascii="Arial" w:hAnsi="Arial" w:cs="Arial"/>
          <w:sz w:val="22"/>
          <w:szCs w:val="22"/>
        </w:rPr>
        <w:t xml:space="preserve">travel planning and behavioural change packages but wider reductions from more general trends does not appear to have been considered. </w:t>
      </w:r>
    </w:p>
    <w:p w14:paraId="2A289225" w14:textId="77777777" w:rsidR="009D3483" w:rsidRDefault="009D3483" w:rsidP="00F96A66">
      <w:pPr>
        <w:spacing w:line="360" w:lineRule="auto"/>
        <w:jc w:val="both"/>
        <w:rPr>
          <w:rFonts w:ascii="Arial" w:hAnsi="Arial" w:cs="Arial"/>
          <w:sz w:val="22"/>
          <w:szCs w:val="22"/>
        </w:rPr>
      </w:pPr>
    </w:p>
    <w:p w14:paraId="350F4365" w14:textId="491AF4A7" w:rsidR="00327EB2" w:rsidRDefault="00327EB2" w:rsidP="00F96A66">
      <w:pPr>
        <w:spacing w:line="360" w:lineRule="auto"/>
        <w:jc w:val="both"/>
        <w:rPr>
          <w:rFonts w:ascii="Arial" w:hAnsi="Arial" w:cs="Arial"/>
          <w:sz w:val="22"/>
          <w:szCs w:val="22"/>
        </w:rPr>
      </w:pPr>
      <w:r>
        <w:rPr>
          <w:rFonts w:ascii="Arial" w:hAnsi="Arial" w:cs="Arial"/>
          <w:sz w:val="22"/>
          <w:szCs w:val="22"/>
        </w:rPr>
        <w:t xml:space="preserve">In </w:t>
      </w:r>
      <w:r w:rsidR="00F02BB2">
        <w:rPr>
          <w:rFonts w:ascii="Arial" w:hAnsi="Arial" w:cs="Arial"/>
          <w:sz w:val="22"/>
          <w:szCs w:val="22"/>
        </w:rPr>
        <w:t>addition,</w:t>
      </w:r>
      <w:r>
        <w:rPr>
          <w:rFonts w:ascii="Arial" w:hAnsi="Arial" w:cs="Arial"/>
          <w:sz w:val="22"/>
          <w:szCs w:val="22"/>
        </w:rPr>
        <w:t xml:space="preserve"> </w:t>
      </w:r>
      <w:r w:rsidR="00570E16">
        <w:rPr>
          <w:rFonts w:ascii="Arial" w:hAnsi="Arial" w:cs="Arial"/>
          <w:sz w:val="22"/>
          <w:szCs w:val="22"/>
        </w:rPr>
        <w:t>Figure 3.1 indicates an internalisation of 5%</w:t>
      </w:r>
      <w:r w:rsidR="0065169E">
        <w:rPr>
          <w:rFonts w:ascii="Arial" w:hAnsi="Arial" w:cs="Arial"/>
          <w:sz w:val="22"/>
          <w:szCs w:val="22"/>
        </w:rPr>
        <w:t xml:space="preserve"> and we could not find the justification for this figure</w:t>
      </w:r>
      <w:r w:rsidR="00F02BB2">
        <w:rPr>
          <w:rFonts w:ascii="Arial" w:hAnsi="Arial" w:cs="Arial"/>
          <w:sz w:val="22"/>
          <w:szCs w:val="22"/>
        </w:rPr>
        <w:t xml:space="preserve">. For larger sites </w:t>
      </w:r>
      <w:r w:rsidR="00964E43">
        <w:rPr>
          <w:rFonts w:ascii="Arial" w:hAnsi="Arial" w:cs="Arial"/>
          <w:sz w:val="22"/>
          <w:szCs w:val="22"/>
        </w:rPr>
        <w:t xml:space="preserve">the </w:t>
      </w:r>
      <w:r w:rsidR="004E4115">
        <w:rPr>
          <w:rFonts w:ascii="Arial" w:hAnsi="Arial" w:cs="Arial"/>
          <w:sz w:val="22"/>
          <w:szCs w:val="22"/>
        </w:rPr>
        <w:t>level</w:t>
      </w:r>
      <w:r w:rsidR="00964E43">
        <w:rPr>
          <w:rFonts w:ascii="Arial" w:hAnsi="Arial" w:cs="Arial"/>
          <w:sz w:val="22"/>
          <w:szCs w:val="22"/>
        </w:rPr>
        <w:t xml:space="preserve"> of </w:t>
      </w:r>
      <w:r w:rsidR="004E4115">
        <w:rPr>
          <w:rFonts w:ascii="Arial" w:hAnsi="Arial" w:cs="Arial"/>
          <w:sz w:val="22"/>
          <w:szCs w:val="22"/>
        </w:rPr>
        <w:t>internalisation</w:t>
      </w:r>
      <w:r w:rsidR="00964E43">
        <w:rPr>
          <w:rFonts w:ascii="Arial" w:hAnsi="Arial" w:cs="Arial"/>
          <w:sz w:val="22"/>
          <w:szCs w:val="22"/>
        </w:rPr>
        <w:t xml:space="preserve"> </w:t>
      </w:r>
      <w:r w:rsidR="00F2070E">
        <w:rPr>
          <w:rFonts w:ascii="Arial" w:hAnsi="Arial" w:cs="Arial"/>
          <w:sz w:val="22"/>
          <w:szCs w:val="22"/>
        </w:rPr>
        <w:t>could be</w:t>
      </w:r>
      <w:r w:rsidR="00F02BB2">
        <w:rPr>
          <w:rFonts w:ascii="Arial" w:hAnsi="Arial" w:cs="Arial"/>
          <w:sz w:val="22"/>
          <w:szCs w:val="22"/>
        </w:rPr>
        <w:t xml:space="preserve"> higher</w:t>
      </w:r>
      <w:r w:rsidR="00B934C0">
        <w:rPr>
          <w:rFonts w:ascii="Arial" w:hAnsi="Arial" w:cs="Arial"/>
          <w:sz w:val="22"/>
          <w:szCs w:val="22"/>
        </w:rPr>
        <w:t xml:space="preserve"> an</w:t>
      </w:r>
      <w:r w:rsidR="004E4115">
        <w:rPr>
          <w:rFonts w:ascii="Arial" w:hAnsi="Arial" w:cs="Arial"/>
          <w:sz w:val="22"/>
          <w:szCs w:val="22"/>
        </w:rPr>
        <w:t xml:space="preserve">d </w:t>
      </w:r>
      <w:r w:rsidR="00B934C0">
        <w:rPr>
          <w:rFonts w:ascii="Arial" w:hAnsi="Arial" w:cs="Arial"/>
          <w:sz w:val="22"/>
          <w:szCs w:val="22"/>
        </w:rPr>
        <w:t xml:space="preserve">HBF suggest </w:t>
      </w:r>
      <w:r w:rsidR="00F2070E">
        <w:rPr>
          <w:rFonts w:ascii="Arial" w:hAnsi="Arial" w:cs="Arial"/>
          <w:sz w:val="22"/>
          <w:szCs w:val="22"/>
        </w:rPr>
        <w:t>that</w:t>
      </w:r>
      <w:r w:rsidR="00B9542D">
        <w:rPr>
          <w:rFonts w:ascii="Arial" w:hAnsi="Arial" w:cs="Arial"/>
          <w:sz w:val="22"/>
          <w:szCs w:val="22"/>
        </w:rPr>
        <w:t xml:space="preserve"> evidence</w:t>
      </w:r>
      <w:r w:rsidR="00F2070E">
        <w:rPr>
          <w:rFonts w:ascii="Arial" w:hAnsi="Arial" w:cs="Arial"/>
          <w:sz w:val="22"/>
          <w:szCs w:val="22"/>
        </w:rPr>
        <w:t xml:space="preserve"> must be</w:t>
      </w:r>
      <w:r w:rsidR="00B9542D">
        <w:rPr>
          <w:rFonts w:ascii="Arial" w:hAnsi="Arial" w:cs="Arial"/>
          <w:sz w:val="22"/>
          <w:szCs w:val="22"/>
        </w:rPr>
        <w:t xml:space="preserve"> presented as to why it is assumed to be 5%.</w:t>
      </w:r>
    </w:p>
    <w:p w14:paraId="37CC396C" w14:textId="77777777" w:rsidR="003F5C3C" w:rsidRDefault="003F5C3C" w:rsidP="00F96A66">
      <w:pPr>
        <w:spacing w:line="360" w:lineRule="auto"/>
        <w:jc w:val="both"/>
        <w:rPr>
          <w:rFonts w:ascii="Arial" w:hAnsi="Arial" w:cs="Arial"/>
          <w:sz w:val="22"/>
          <w:szCs w:val="22"/>
        </w:rPr>
      </w:pPr>
    </w:p>
    <w:p w14:paraId="5DBC2EF7" w14:textId="75C0AD65" w:rsidR="003F5C3C" w:rsidRDefault="003F5C3C" w:rsidP="00F96A66">
      <w:pPr>
        <w:spacing w:line="360" w:lineRule="auto"/>
        <w:jc w:val="both"/>
        <w:rPr>
          <w:rFonts w:ascii="Arial" w:hAnsi="Arial" w:cs="Arial"/>
          <w:sz w:val="22"/>
          <w:szCs w:val="22"/>
        </w:rPr>
      </w:pPr>
      <w:r>
        <w:rPr>
          <w:rFonts w:ascii="Arial" w:hAnsi="Arial" w:cs="Arial"/>
          <w:sz w:val="22"/>
          <w:szCs w:val="22"/>
        </w:rPr>
        <w:lastRenderedPageBreak/>
        <w:t>Given that the Council are not able to meet their housing needs and that there are sign</w:t>
      </w:r>
      <w:r w:rsidR="00B5791E">
        <w:rPr>
          <w:rFonts w:ascii="Arial" w:hAnsi="Arial" w:cs="Arial"/>
          <w:sz w:val="22"/>
          <w:szCs w:val="22"/>
        </w:rPr>
        <w:t xml:space="preserve">ificant shortfalls </w:t>
      </w:r>
      <w:r w:rsidR="00AF3F6A">
        <w:rPr>
          <w:rFonts w:ascii="Arial" w:hAnsi="Arial" w:cs="Arial"/>
          <w:sz w:val="22"/>
          <w:szCs w:val="22"/>
        </w:rPr>
        <w:t xml:space="preserve">in housing </w:t>
      </w:r>
      <w:r w:rsidR="00B5791E">
        <w:rPr>
          <w:rFonts w:ascii="Arial" w:hAnsi="Arial" w:cs="Arial"/>
          <w:sz w:val="22"/>
          <w:szCs w:val="22"/>
        </w:rPr>
        <w:t>across West Sussex</w:t>
      </w:r>
      <w:r w:rsidR="00AF3F6A">
        <w:rPr>
          <w:rFonts w:ascii="Arial" w:hAnsi="Arial" w:cs="Arial"/>
          <w:sz w:val="22"/>
          <w:szCs w:val="22"/>
        </w:rPr>
        <w:t>,</w:t>
      </w:r>
      <w:r w:rsidR="00B5791E">
        <w:rPr>
          <w:rFonts w:ascii="Arial" w:hAnsi="Arial" w:cs="Arial"/>
          <w:sz w:val="22"/>
          <w:szCs w:val="22"/>
        </w:rPr>
        <w:t xml:space="preserve"> HBF </w:t>
      </w:r>
      <w:r w:rsidR="00EA5478">
        <w:rPr>
          <w:rFonts w:ascii="Arial" w:hAnsi="Arial" w:cs="Arial"/>
          <w:sz w:val="22"/>
          <w:szCs w:val="22"/>
        </w:rPr>
        <w:t xml:space="preserve">would have expected the Council to undertake sensitive </w:t>
      </w:r>
      <w:r w:rsidR="000C5F81">
        <w:rPr>
          <w:rFonts w:ascii="Arial" w:hAnsi="Arial" w:cs="Arial"/>
          <w:sz w:val="22"/>
          <w:szCs w:val="22"/>
        </w:rPr>
        <w:t>testing</w:t>
      </w:r>
      <w:r w:rsidR="00EA5478">
        <w:rPr>
          <w:rFonts w:ascii="Arial" w:hAnsi="Arial" w:cs="Arial"/>
          <w:sz w:val="22"/>
          <w:szCs w:val="22"/>
        </w:rPr>
        <w:t xml:space="preserve"> with regard </w:t>
      </w:r>
      <w:r w:rsidR="000C5F81">
        <w:rPr>
          <w:rFonts w:ascii="Arial" w:hAnsi="Arial" w:cs="Arial"/>
          <w:sz w:val="22"/>
          <w:szCs w:val="22"/>
        </w:rPr>
        <w:t>to</w:t>
      </w:r>
      <w:r w:rsidR="00EA5478">
        <w:rPr>
          <w:rFonts w:ascii="Arial" w:hAnsi="Arial" w:cs="Arial"/>
          <w:sz w:val="22"/>
          <w:szCs w:val="22"/>
        </w:rPr>
        <w:t xml:space="preserve"> trip generation to </w:t>
      </w:r>
      <w:r w:rsidR="000C5F81">
        <w:rPr>
          <w:rFonts w:ascii="Arial" w:hAnsi="Arial" w:cs="Arial"/>
          <w:sz w:val="22"/>
          <w:szCs w:val="22"/>
        </w:rPr>
        <w:t>examine the impact of lower trip rates</w:t>
      </w:r>
      <w:r w:rsidR="00F00265">
        <w:rPr>
          <w:rFonts w:ascii="Arial" w:hAnsi="Arial" w:cs="Arial"/>
          <w:sz w:val="22"/>
          <w:szCs w:val="22"/>
        </w:rPr>
        <w:t xml:space="preserve"> that are</w:t>
      </w:r>
      <w:r w:rsidR="006967CC">
        <w:rPr>
          <w:rFonts w:ascii="Arial" w:hAnsi="Arial" w:cs="Arial"/>
          <w:sz w:val="22"/>
          <w:szCs w:val="22"/>
        </w:rPr>
        <w:t xml:space="preserve"> likely</w:t>
      </w:r>
      <w:r w:rsidR="00F00265">
        <w:rPr>
          <w:rFonts w:ascii="Arial" w:hAnsi="Arial" w:cs="Arial"/>
          <w:sz w:val="22"/>
          <w:szCs w:val="22"/>
        </w:rPr>
        <w:t xml:space="preserve"> to be more </w:t>
      </w:r>
      <w:r w:rsidR="006967CC">
        <w:rPr>
          <w:rFonts w:ascii="Arial" w:hAnsi="Arial" w:cs="Arial"/>
          <w:sz w:val="22"/>
          <w:szCs w:val="22"/>
        </w:rPr>
        <w:t>reflective</w:t>
      </w:r>
      <w:r w:rsidR="00F00265">
        <w:rPr>
          <w:rFonts w:ascii="Arial" w:hAnsi="Arial" w:cs="Arial"/>
          <w:sz w:val="22"/>
          <w:szCs w:val="22"/>
        </w:rPr>
        <w:t xml:space="preserve"> of change travel patterns</w:t>
      </w:r>
      <w:r w:rsidR="006967CC">
        <w:rPr>
          <w:rFonts w:ascii="Arial" w:hAnsi="Arial" w:cs="Arial"/>
          <w:sz w:val="22"/>
          <w:szCs w:val="22"/>
        </w:rPr>
        <w:t>.</w:t>
      </w:r>
      <w:r w:rsidR="00151D31">
        <w:rPr>
          <w:rFonts w:ascii="Arial" w:hAnsi="Arial" w:cs="Arial"/>
          <w:sz w:val="22"/>
          <w:szCs w:val="22"/>
        </w:rPr>
        <w:t xml:space="preserve"> HBF </w:t>
      </w:r>
      <w:r w:rsidR="002F31C9">
        <w:rPr>
          <w:rFonts w:ascii="Arial" w:hAnsi="Arial" w:cs="Arial"/>
          <w:sz w:val="22"/>
          <w:szCs w:val="22"/>
        </w:rPr>
        <w:t>consider</w:t>
      </w:r>
      <w:r w:rsidR="00151D31">
        <w:rPr>
          <w:rFonts w:ascii="Arial" w:hAnsi="Arial" w:cs="Arial"/>
          <w:sz w:val="22"/>
          <w:szCs w:val="22"/>
        </w:rPr>
        <w:t xml:space="preserve"> insufficient modelling has been </w:t>
      </w:r>
      <w:r w:rsidR="002F31C9">
        <w:rPr>
          <w:rFonts w:ascii="Arial" w:hAnsi="Arial" w:cs="Arial"/>
          <w:sz w:val="22"/>
          <w:szCs w:val="22"/>
        </w:rPr>
        <w:t>undertaken</w:t>
      </w:r>
      <w:r w:rsidR="00151D31">
        <w:rPr>
          <w:rFonts w:ascii="Arial" w:hAnsi="Arial" w:cs="Arial"/>
          <w:sz w:val="22"/>
          <w:szCs w:val="22"/>
        </w:rPr>
        <w:t xml:space="preserve"> to </w:t>
      </w:r>
      <w:r w:rsidR="002F31C9">
        <w:rPr>
          <w:rFonts w:ascii="Arial" w:hAnsi="Arial" w:cs="Arial"/>
          <w:sz w:val="22"/>
          <w:szCs w:val="22"/>
        </w:rPr>
        <w:t>examine</w:t>
      </w:r>
      <w:r w:rsidR="00151D31">
        <w:rPr>
          <w:rFonts w:ascii="Arial" w:hAnsi="Arial" w:cs="Arial"/>
          <w:sz w:val="22"/>
          <w:szCs w:val="22"/>
        </w:rPr>
        <w:t xml:space="preserve"> whether a higher level of housing could </w:t>
      </w:r>
      <w:r w:rsidR="002F31C9">
        <w:rPr>
          <w:rFonts w:ascii="Arial" w:hAnsi="Arial" w:cs="Arial"/>
          <w:sz w:val="22"/>
          <w:szCs w:val="22"/>
        </w:rPr>
        <w:t>have</w:t>
      </w:r>
      <w:r w:rsidR="00151D31">
        <w:rPr>
          <w:rFonts w:ascii="Arial" w:hAnsi="Arial" w:cs="Arial"/>
          <w:sz w:val="22"/>
          <w:szCs w:val="22"/>
        </w:rPr>
        <w:t xml:space="preserve"> been achieved and as such the </w:t>
      </w:r>
      <w:r w:rsidR="002F31C9">
        <w:rPr>
          <w:rFonts w:ascii="Arial" w:hAnsi="Arial" w:cs="Arial"/>
          <w:sz w:val="22"/>
          <w:szCs w:val="22"/>
        </w:rPr>
        <w:t xml:space="preserve">housing requirement is not justified. </w:t>
      </w:r>
    </w:p>
    <w:p w14:paraId="352CAF3D" w14:textId="77777777" w:rsidR="004F48B2" w:rsidRPr="003A73D4" w:rsidRDefault="004F48B2" w:rsidP="00F96A66">
      <w:pPr>
        <w:spacing w:line="360" w:lineRule="auto"/>
        <w:jc w:val="both"/>
        <w:rPr>
          <w:rFonts w:ascii="Arial" w:hAnsi="Arial" w:cs="Arial"/>
          <w:sz w:val="22"/>
          <w:szCs w:val="22"/>
        </w:rPr>
      </w:pPr>
    </w:p>
    <w:p w14:paraId="0EC6C209" w14:textId="77777777" w:rsidR="003A73D4" w:rsidRDefault="003A73D4" w:rsidP="00F96A66">
      <w:pPr>
        <w:spacing w:line="360" w:lineRule="auto"/>
        <w:jc w:val="both"/>
        <w:rPr>
          <w:rFonts w:ascii="Arial" w:hAnsi="Arial" w:cs="Arial"/>
          <w:sz w:val="22"/>
          <w:szCs w:val="22"/>
        </w:rPr>
      </w:pPr>
      <w:r w:rsidRPr="004F48B2">
        <w:rPr>
          <w:rFonts w:ascii="Arial" w:hAnsi="Arial" w:cs="Arial"/>
          <w:i/>
          <w:iCs/>
          <w:sz w:val="22"/>
          <w:szCs w:val="22"/>
          <w:u w:val="single"/>
        </w:rPr>
        <w:t>Q.21 How has the employment growth set out in the Plan (as set out in Policies E1 and E3) been considered in the transport assessment and what if any part would it play in the monitor and manage approach?</w:t>
      </w:r>
    </w:p>
    <w:p w14:paraId="49474818" w14:textId="77777777" w:rsidR="006967CC" w:rsidRDefault="006967CC" w:rsidP="00F96A66">
      <w:pPr>
        <w:spacing w:line="360" w:lineRule="auto"/>
        <w:jc w:val="both"/>
        <w:rPr>
          <w:rFonts w:ascii="Arial" w:hAnsi="Arial" w:cs="Arial"/>
          <w:sz w:val="22"/>
          <w:szCs w:val="22"/>
        </w:rPr>
      </w:pPr>
    </w:p>
    <w:p w14:paraId="22902D8F" w14:textId="16C972D6" w:rsidR="004F48B2" w:rsidRPr="004F48B2" w:rsidRDefault="004F48B2" w:rsidP="00F96A66">
      <w:pPr>
        <w:spacing w:line="360" w:lineRule="auto"/>
        <w:jc w:val="both"/>
        <w:rPr>
          <w:rFonts w:ascii="Arial" w:hAnsi="Arial" w:cs="Arial"/>
          <w:sz w:val="22"/>
          <w:szCs w:val="22"/>
        </w:rPr>
      </w:pPr>
      <w:r>
        <w:rPr>
          <w:rFonts w:ascii="Arial" w:hAnsi="Arial" w:cs="Arial"/>
          <w:sz w:val="22"/>
          <w:szCs w:val="22"/>
        </w:rPr>
        <w:t>No comment</w:t>
      </w:r>
      <w:r w:rsidR="004870C3">
        <w:rPr>
          <w:rFonts w:ascii="Arial" w:hAnsi="Arial" w:cs="Arial"/>
          <w:sz w:val="22"/>
          <w:szCs w:val="22"/>
        </w:rPr>
        <w:t>.</w:t>
      </w:r>
    </w:p>
    <w:p w14:paraId="1FCF9FB1" w14:textId="77777777" w:rsidR="003A73D4" w:rsidRPr="003A73D4" w:rsidRDefault="003A73D4" w:rsidP="00F96A66">
      <w:pPr>
        <w:spacing w:line="360" w:lineRule="auto"/>
        <w:jc w:val="both"/>
        <w:rPr>
          <w:rFonts w:ascii="Arial" w:hAnsi="Arial" w:cs="Arial"/>
          <w:sz w:val="22"/>
          <w:szCs w:val="22"/>
        </w:rPr>
      </w:pPr>
    </w:p>
    <w:p w14:paraId="7A0E9DBF" w14:textId="77777777" w:rsidR="003A73D4" w:rsidRPr="003A73D4" w:rsidRDefault="003A73D4" w:rsidP="00F96A66">
      <w:pPr>
        <w:spacing w:line="360" w:lineRule="auto"/>
        <w:jc w:val="both"/>
        <w:rPr>
          <w:rFonts w:ascii="Arial" w:hAnsi="Arial" w:cs="Arial"/>
          <w:b/>
          <w:bCs/>
          <w:sz w:val="22"/>
          <w:szCs w:val="22"/>
        </w:rPr>
      </w:pPr>
      <w:r w:rsidRPr="003A73D4">
        <w:rPr>
          <w:rFonts w:ascii="Arial" w:hAnsi="Arial" w:cs="Arial"/>
          <w:b/>
          <w:bCs/>
          <w:sz w:val="22"/>
          <w:szCs w:val="22"/>
        </w:rPr>
        <w:t>The spatial distribution of housing to the southern plan area</w:t>
      </w:r>
    </w:p>
    <w:p w14:paraId="0364226B" w14:textId="77777777" w:rsidR="00BE250A" w:rsidRDefault="00BE250A" w:rsidP="00F96A66">
      <w:pPr>
        <w:spacing w:line="360" w:lineRule="auto"/>
        <w:jc w:val="both"/>
        <w:rPr>
          <w:rFonts w:ascii="Arial" w:hAnsi="Arial" w:cs="Arial"/>
          <w:sz w:val="22"/>
          <w:szCs w:val="22"/>
        </w:rPr>
      </w:pPr>
    </w:p>
    <w:p w14:paraId="1DC6975C" w14:textId="16F9ACBA" w:rsidR="003A73D4" w:rsidRPr="00217A77" w:rsidRDefault="003A73D4" w:rsidP="00F96A66">
      <w:pPr>
        <w:spacing w:line="360" w:lineRule="auto"/>
        <w:jc w:val="both"/>
        <w:rPr>
          <w:rFonts w:ascii="Arial" w:hAnsi="Arial" w:cs="Arial"/>
          <w:i/>
          <w:iCs/>
          <w:sz w:val="22"/>
          <w:szCs w:val="22"/>
          <w:u w:val="single"/>
        </w:rPr>
      </w:pPr>
      <w:r w:rsidRPr="00217A77">
        <w:rPr>
          <w:rFonts w:ascii="Arial" w:hAnsi="Arial" w:cs="Arial"/>
          <w:i/>
          <w:iCs/>
          <w:sz w:val="22"/>
          <w:szCs w:val="22"/>
          <w:u w:val="single"/>
        </w:rPr>
        <w:t>Q.22 The broad spatial distribution of housing proposed in the Plan is for 535 dwellings per annum (dpa) in the southern plan area. In transport terms, what is the justification for the 535 dpa ‘cap’ on new homes in the southern plan area?</w:t>
      </w:r>
    </w:p>
    <w:p w14:paraId="75EA9A97" w14:textId="77777777" w:rsidR="003A73D4" w:rsidRDefault="003A73D4" w:rsidP="00F96A66">
      <w:pPr>
        <w:spacing w:line="360" w:lineRule="auto"/>
        <w:jc w:val="both"/>
        <w:rPr>
          <w:rFonts w:ascii="Arial" w:hAnsi="Arial" w:cs="Arial"/>
          <w:sz w:val="22"/>
          <w:szCs w:val="22"/>
        </w:rPr>
      </w:pPr>
    </w:p>
    <w:p w14:paraId="6BF7445E" w14:textId="0F810025" w:rsidR="003A73D4" w:rsidRPr="003A73D4" w:rsidRDefault="004B6C93" w:rsidP="00F96A66">
      <w:pPr>
        <w:spacing w:line="360" w:lineRule="auto"/>
        <w:jc w:val="both"/>
        <w:rPr>
          <w:rFonts w:ascii="Arial" w:hAnsi="Arial" w:cs="Arial"/>
          <w:sz w:val="22"/>
          <w:szCs w:val="22"/>
        </w:rPr>
      </w:pPr>
      <w:r>
        <w:rPr>
          <w:rFonts w:ascii="Arial" w:hAnsi="Arial" w:cs="Arial"/>
          <w:sz w:val="22"/>
          <w:szCs w:val="22"/>
        </w:rPr>
        <w:t>This is broadly f</w:t>
      </w:r>
      <w:r w:rsidR="001B45ED">
        <w:rPr>
          <w:rFonts w:ascii="Arial" w:hAnsi="Arial" w:cs="Arial"/>
          <w:sz w:val="22"/>
          <w:szCs w:val="22"/>
        </w:rPr>
        <w:t xml:space="preserve">or </w:t>
      </w:r>
      <w:r>
        <w:rPr>
          <w:rFonts w:ascii="Arial" w:hAnsi="Arial" w:cs="Arial"/>
          <w:sz w:val="22"/>
          <w:szCs w:val="22"/>
        </w:rPr>
        <w:t xml:space="preserve">the </w:t>
      </w:r>
      <w:r w:rsidR="001B45ED">
        <w:rPr>
          <w:rFonts w:ascii="Arial" w:hAnsi="Arial" w:cs="Arial"/>
          <w:sz w:val="22"/>
          <w:szCs w:val="22"/>
        </w:rPr>
        <w:t>Council</w:t>
      </w:r>
      <w:r>
        <w:rPr>
          <w:rFonts w:ascii="Arial" w:hAnsi="Arial" w:cs="Arial"/>
          <w:sz w:val="22"/>
          <w:szCs w:val="22"/>
        </w:rPr>
        <w:t xml:space="preserve"> to answer </w:t>
      </w:r>
      <w:r w:rsidR="00327680">
        <w:rPr>
          <w:rFonts w:ascii="Arial" w:hAnsi="Arial" w:cs="Arial"/>
          <w:sz w:val="22"/>
          <w:szCs w:val="22"/>
        </w:rPr>
        <w:t xml:space="preserve">but HBF </w:t>
      </w:r>
      <w:r w:rsidR="004C29AD">
        <w:rPr>
          <w:rFonts w:ascii="Arial" w:hAnsi="Arial" w:cs="Arial"/>
          <w:sz w:val="22"/>
          <w:szCs w:val="22"/>
        </w:rPr>
        <w:t>would</w:t>
      </w:r>
      <w:r w:rsidR="00327680">
        <w:rPr>
          <w:rFonts w:ascii="Arial" w:hAnsi="Arial" w:cs="Arial"/>
          <w:sz w:val="22"/>
          <w:szCs w:val="22"/>
        </w:rPr>
        <w:t xml:space="preserve"> suggest that</w:t>
      </w:r>
      <w:r w:rsidR="008D7FE7">
        <w:rPr>
          <w:rFonts w:ascii="Arial" w:hAnsi="Arial" w:cs="Arial"/>
          <w:sz w:val="22"/>
          <w:szCs w:val="22"/>
        </w:rPr>
        <w:t xml:space="preserve"> any decision to cap housing growth </w:t>
      </w:r>
      <w:r w:rsidR="00B81BE0">
        <w:rPr>
          <w:rFonts w:ascii="Arial" w:hAnsi="Arial" w:cs="Arial"/>
          <w:sz w:val="22"/>
          <w:szCs w:val="22"/>
        </w:rPr>
        <w:t xml:space="preserve">will </w:t>
      </w:r>
      <w:r w:rsidR="00327680">
        <w:rPr>
          <w:rFonts w:ascii="Arial" w:hAnsi="Arial" w:cs="Arial"/>
          <w:sz w:val="22"/>
          <w:szCs w:val="22"/>
        </w:rPr>
        <w:t>require</w:t>
      </w:r>
      <w:r w:rsidR="00B81BE0">
        <w:rPr>
          <w:rFonts w:ascii="Arial" w:hAnsi="Arial" w:cs="Arial"/>
          <w:sz w:val="22"/>
          <w:szCs w:val="22"/>
        </w:rPr>
        <w:t xml:space="preserve"> further work </w:t>
      </w:r>
      <w:r w:rsidR="00327680">
        <w:rPr>
          <w:rFonts w:ascii="Arial" w:hAnsi="Arial" w:cs="Arial"/>
          <w:sz w:val="22"/>
          <w:szCs w:val="22"/>
        </w:rPr>
        <w:t xml:space="preserve">to consider </w:t>
      </w:r>
      <w:r w:rsidR="006407EA">
        <w:rPr>
          <w:rFonts w:ascii="Arial" w:hAnsi="Arial" w:cs="Arial"/>
          <w:sz w:val="22"/>
          <w:szCs w:val="22"/>
        </w:rPr>
        <w:t>lower trip rates that are more reflective of</w:t>
      </w:r>
      <w:r w:rsidR="00FB7DCC">
        <w:rPr>
          <w:rFonts w:ascii="Arial" w:hAnsi="Arial" w:cs="Arial"/>
          <w:sz w:val="22"/>
          <w:szCs w:val="22"/>
        </w:rPr>
        <w:t xml:space="preserve"> current and </w:t>
      </w:r>
      <w:r w:rsidR="006407EA">
        <w:rPr>
          <w:rFonts w:ascii="Arial" w:hAnsi="Arial" w:cs="Arial"/>
          <w:sz w:val="22"/>
          <w:szCs w:val="22"/>
        </w:rPr>
        <w:t>future travel patterns</w:t>
      </w:r>
      <w:r w:rsidR="001B45ED">
        <w:rPr>
          <w:rFonts w:ascii="Arial" w:hAnsi="Arial" w:cs="Arial"/>
          <w:sz w:val="22"/>
          <w:szCs w:val="22"/>
        </w:rPr>
        <w:t xml:space="preserve">. </w:t>
      </w:r>
    </w:p>
    <w:p w14:paraId="2DEE13FA" w14:textId="77777777" w:rsidR="003A73D4" w:rsidRDefault="003A73D4" w:rsidP="00F96A66">
      <w:pPr>
        <w:spacing w:line="360" w:lineRule="auto"/>
        <w:jc w:val="both"/>
        <w:rPr>
          <w:rFonts w:ascii="Arial" w:hAnsi="Arial" w:cs="Arial"/>
          <w:sz w:val="22"/>
          <w:szCs w:val="22"/>
        </w:rPr>
      </w:pPr>
    </w:p>
    <w:p w14:paraId="1EEFD9CE" w14:textId="336D5410" w:rsidR="003A73D4" w:rsidRPr="00F91CE4" w:rsidRDefault="003A73D4" w:rsidP="00F96A66">
      <w:pPr>
        <w:spacing w:line="360" w:lineRule="auto"/>
        <w:jc w:val="both"/>
        <w:rPr>
          <w:rFonts w:ascii="Arial" w:hAnsi="Arial" w:cs="Arial"/>
          <w:i/>
          <w:iCs/>
          <w:sz w:val="22"/>
          <w:szCs w:val="22"/>
          <w:u w:val="single"/>
        </w:rPr>
      </w:pPr>
      <w:r w:rsidRPr="00F91CE4">
        <w:rPr>
          <w:rFonts w:ascii="Arial" w:hAnsi="Arial" w:cs="Arial"/>
          <w:i/>
          <w:iCs/>
          <w:sz w:val="22"/>
          <w:szCs w:val="22"/>
          <w:u w:val="single"/>
        </w:rPr>
        <w:t>Q.23 What is the evidence that there would be unacceptable impacts on highway safety, and/or the residual cumulative impacts on the road network would be severe with a level of housing development in the southern plan area with a level of housing provision over 535 dpa?</w:t>
      </w:r>
    </w:p>
    <w:p w14:paraId="76C0139D" w14:textId="77777777" w:rsidR="003A73D4" w:rsidRDefault="003A73D4" w:rsidP="00F96A66">
      <w:pPr>
        <w:spacing w:line="360" w:lineRule="auto"/>
        <w:jc w:val="both"/>
        <w:rPr>
          <w:rFonts w:ascii="Arial" w:hAnsi="Arial" w:cs="Arial"/>
          <w:sz w:val="22"/>
          <w:szCs w:val="22"/>
        </w:rPr>
      </w:pPr>
    </w:p>
    <w:p w14:paraId="6D134C9A" w14:textId="019314BC" w:rsidR="00024E2E" w:rsidRDefault="00876558" w:rsidP="00F96A66">
      <w:pPr>
        <w:spacing w:line="360" w:lineRule="auto"/>
        <w:jc w:val="both"/>
        <w:rPr>
          <w:rFonts w:ascii="Arial" w:hAnsi="Arial" w:cs="Arial"/>
          <w:sz w:val="22"/>
          <w:szCs w:val="22"/>
        </w:rPr>
      </w:pPr>
      <w:r>
        <w:rPr>
          <w:rFonts w:ascii="Arial" w:hAnsi="Arial" w:cs="Arial"/>
          <w:sz w:val="22"/>
          <w:szCs w:val="22"/>
        </w:rPr>
        <w:t>This is b</w:t>
      </w:r>
      <w:r w:rsidR="00024E2E">
        <w:rPr>
          <w:rFonts w:ascii="Arial" w:hAnsi="Arial" w:cs="Arial"/>
          <w:sz w:val="22"/>
          <w:szCs w:val="22"/>
        </w:rPr>
        <w:t>roadly for Council.</w:t>
      </w:r>
      <w:r>
        <w:rPr>
          <w:rFonts w:ascii="Arial" w:hAnsi="Arial" w:cs="Arial"/>
          <w:sz w:val="22"/>
          <w:szCs w:val="22"/>
        </w:rPr>
        <w:t xml:space="preserve"> However, HBF woul</w:t>
      </w:r>
      <w:r w:rsidR="009E1945">
        <w:rPr>
          <w:rFonts w:ascii="Arial" w:hAnsi="Arial" w:cs="Arial"/>
          <w:sz w:val="22"/>
          <w:szCs w:val="22"/>
        </w:rPr>
        <w:t xml:space="preserve">d refer you to our response to Q20 </w:t>
      </w:r>
      <w:r w:rsidR="007111E6">
        <w:rPr>
          <w:rFonts w:ascii="Arial" w:hAnsi="Arial" w:cs="Arial"/>
          <w:sz w:val="22"/>
          <w:szCs w:val="22"/>
        </w:rPr>
        <w:t xml:space="preserve">that the trip rates appear to be too high and that the </w:t>
      </w:r>
      <w:r w:rsidR="00B72C39">
        <w:rPr>
          <w:rFonts w:ascii="Arial" w:hAnsi="Arial" w:cs="Arial"/>
          <w:sz w:val="22"/>
          <w:szCs w:val="22"/>
        </w:rPr>
        <w:t xml:space="preserve">potential impact of new development on the congestion and safety may be over stated. </w:t>
      </w:r>
      <w:r w:rsidR="00307EBB">
        <w:rPr>
          <w:rFonts w:ascii="Arial" w:hAnsi="Arial" w:cs="Arial"/>
          <w:sz w:val="22"/>
          <w:szCs w:val="22"/>
        </w:rPr>
        <w:t xml:space="preserve">Further work is needed to understand the </w:t>
      </w:r>
      <w:r w:rsidR="00D45F32">
        <w:rPr>
          <w:rFonts w:ascii="Arial" w:hAnsi="Arial" w:cs="Arial"/>
          <w:sz w:val="22"/>
          <w:szCs w:val="22"/>
        </w:rPr>
        <w:t>potential</w:t>
      </w:r>
      <w:r w:rsidR="00307EBB">
        <w:rPr>
          <w:rFonts w:ascii="Arial" w:hAnsi="Arial" w:cs="Arial"/>
          <w:sz w:val="22"/>
          <w:szCs w:val="22"/>
        </w:rPr>
        <w:t xml:space="preserve"> impact of </w:t>
      </w:r>
      <w:r w:rsidR="00D45F32">
        <w:rPr>
          <w:rFonts w:ascii="Arial" w:hAnsi="Arial" w:cs="Arial"/>
          <w:sz w:val="22"/>
          <w:szCs w:val="22"/>
        </w:rPr>
        <w:t>lower trip rates that reflect the changing travel patterns that taking p</w:t>
      </w:r>
      <w:r w:rsidR="00320883">
        <w:rPr>
          <w:rFonts w:ascii="Arial" w:hAnsi="Arial" w:cs="Arial"/>
          <w:sz w:val="22"/>
          <w:szCs w:val="22"/>
        </w:rPr>
        <w:t>l</w:t>
      </w:r>
      <w:r w:rsidR="00D45F32">
        <w:rPr>
          <w:rFonts w:ascii="Arial" w:hAnsi="Arial" w:cs="Arial"/>
          <w:sz w:val="22"/>
          <w:szCs w:val="22"/>
        </w:rPr>
        <w:t xml:space="preserve">ace and that are likely to continue across the plan period. </w:t>
      </w:r>
    </w:p>
    <w:p w14:paraId="1735DA35" w14:textId="77777777" w:rsidR="003A73D4" w:rsidRDefault="003A73D4" w:rsidP="00F96A66">
      <w:pPr>
        <w:spacing w:line="360" w:lineRule="auto"/>
        <w:jc w:val="both"/>
        <w:rPr>
          <w:rFonts w:ascii="Arial" w:hAnsi="Arial" w:cs="Arial"/>
          <w:sz w:val="22"/>
          <w:szCs w:val="22"/>
        </w:rPr>
      </w:pPr>
    </w:p>
    <w:p w14:paraId="1E9925BF" w14:textId="41BD536A" w:rsidR="007A650B" w:rsidRPr="00F87260" w:rsidRDefault="003A73D4" w:rsidP="00F96A66">
      <w:pPr>
        <w:spacing w:line="360" w:lineRule="auto"/>
        <w:jc w:val="both"/>
        <w:rPr>
          <w:rFonts w:ascii="Arial" w:hAnsi="Arial" w:cs="Arial"/>
          <w:i/>
          <w:iCs/>
          <w:sz w:val="22"/>
          <w:szCs w:val="22"/>
          <w:u w:val="single"/>
        </w:rPr>
      </w:pPr>
      <w:r w:rsidRPr="00F87260">
        <w:rPr>
          <w:rFonts w:ascii="Arial" w:hAnsi="Arial" w:cs="Arial"/>
          <w:i/>
          <w:iCs/>
          <w:sz w:val="22"/>
          <w:szCs w:val="22"/>
          <w:u w:val="single"/>
        </w:rPr>
        <w:lastRenderedPageBreak/>
        <w:t>Q.24 What is the specific evidence that new housing development over 535 dpa in the southern plan area over the plan period should be prevented on highways grounds?</w:t>
      </w:r>
    </w:p>
    <w:p w14:paraId="50F3B887" w14:textId="77777777" w:rsidR="007A650B" w:rsidRDefault="007A650B" w:rsidP="00F96A66">
      <w:pPr>
        <w:spacing w:line="360" w:lineRule="auto"/>
        <w:jc w:val="both"/>
        <w:rPr>
          <w:rFonts w:ascii="Arial" w:hAnsi="Arial" w:cs="Arial"/>
          <w:sz w:val="22"/>
          <w:szCs w:val="22"/>
        </w:rPr>
      </w:pPr>
    </w:p>
    <w:p w14:paraId="6EE9E612" w14:textId="6104B4D2" w:rsidR="00F87260" w:rsidRPr="00D862A9" w:rsidRDefault="009C726C" w:rsidP="00F96A66">
      <w:pPr>
        <w:spacing w:line="360" w:lineRule="auto"/>
        <w:jc w:val="both"/>
        <w:rPr>
          <w:rFonts w:ascii="Arial" w:hAnsi="Arial" w:cs="Arial"/>
          <w:sz w:val="22"/>
          <w:szCs w:val="22"/>
        </w:rPr>
      </w:pPr>
      <w:r>
        <w:rPr>
          <w:rFonts w:ascii="Arial" w:hAnsi="Arial" w:cs="Arial"/>
          <w:sz w:val="22"/>
          <w:szCs w:val="22"/>
        </w:rPr>
        <w:t>For council.</w:t>
      </w:r>
    </w:p>
    <w:p w14:paraId="0B718151" w14:textId="77777777" w:rsidR="003A73D4" w:rsidRDefault="003A73D4" w:rsidP="00F96A66">
      <w:pPr>
        <w:spacing w:line="360" w:lineRule="auto"/>
        <w:rPr>
          <w:rFonts w:ascii="Arial" w:hAnsi="Arial" w:cs="Arial"/>
          <w:sz w:val="22"/>
          <w:szCs w:val="22"/>
        </w:rPr>
      </w:pPr>
    </w:p>
    <w:p w14:paraId="74E70AA7" w14:textId="77777777" w:rsidR="005F3E40" w:rsidRPr="005F3E40" w:rsidRDefault="005F3E40" w:rsidP="00F96A66">
      <w:pPr>
        <w:spacing w:line="360" w:lineRule="auto"/>
        <w:rPr>
          <w:rFonts w:ascii="Arial" w:hAnsi="Arial" w:cs="Arial"/>
          <w:b/>
          <w:bCs/>
          <w:sz w:val="22"/>
          <w:szCs w:val="22"/>
        </w:rPr>
      </w:pPr>
      <w:r w:rsidRPr="005F3E40">
        <w:rPr>
          <w:rFonts w:ascii="Arial" w:hAnsi="Arial" w:cs="Arial"/>
          <w:b/>
          <w:bCs/>
          <w:sz w:val="22"/>
          <w:szCs w:val="22"/>
        </w:rPr>
        <w:t>Matter 4C: Housing</w:t>
      </w:r>
    </w:p>
    <w:p w14:paraId="155B2606" w14:textId="77777777" w:rsidR="005F3E40" w:rsidRPr="005F3E40" w:rsidRDefault="005F3E40" w:rsidP="00F96A66">
      <w:pPr>
        <w:spacing w:line="360" w:lineRule="auto"/>
        <w:jc w:val="both"/>
        <w:rPr>
          <w:rFonts w:ascii="Arial" w:hAnsi="Arial" w:cs="Arial"/>
          <w:b/>
          <w:bCs/>
          <w:sz w:val="22"/>
          <w:szCs w:val="22"/>
        </w:rPr>
      </w:pPr>
    </w:p>
    <w:p w14:paraId="5E909C95" w14:textId="203B132B" w:rsidR="005F3E40" w:rsidRPr="005F3E40" w:rsidRDefault="005F3E40" w:rsidP="00F96A66">
      <w:pPr>
        <w:spacing w:line="360" w:lineRule="auto"/>
        <w:jc w:val="both"/>
        <w:rPr>
          <w:rFonts w:ascii="Arial" w:hAnsi="Arial" w:cs="Arial"/>
          <w:b/>
          <w:bCs/>
          <w:sz w:val="22"/>
          <w:szCs w:val="22"/>
        </w:rPr>
      </w:pPr>
      <w:r w:rsidRPr="005F3E40">
        <w:rPr>
          <w:rFonts w:ascii="Arial" w:hAnsi="Arial" w:cs="Arial"/>
          <w:b/>
          <w:bCs/>
          <w:sz w:val="22"/>
          <w:szCs w:val="22"/>
        </w:rPr>
        <w:t>Issue: Is the proposed approach to housing development positively prepared, justified, effective, and consistent with national policy?</w:t>
      </w:r>
    </w:p>
    <w:p w14:paraId="61119FAC" w14:textId="77777777" w:rsidR="005F3E40" w:rsidRDefault="005F3E40" w:rsidP="00F96A66">
      <w:pPr>
        <w:spacing w:line="360" w:lineRule="auto"/>
        <w:jc w:val="both"/>
        <w:rPr>
          <w:rFonts w:ascii="Arial" w:hAnsi="Arial" w:cs="Arial"/>
          <w:b/>
          <w:bCs/>
          <w:sz w:val="22"/>
          <w:szCs w:val="22"/>
        </w:rPr>
      </w:pPr>
    </w:p>
    <w:p w14:paraId="6CD3D9F7" w14:textId="64CE8001" w:rsidR="005F3E40" w:rsidRPr="005F3E40" w:rsidRDefault="005F3E40" w:rsidP="00F96A66">
      <w:pPr>
        <w:spacing w:line="360" w:lineRule="auto"/>
        <w:jc w:val="both"/>
        <w:rPr>
          <w:rFonts w:ascii="Arial" w:hAnsi="Arial" w:cs="Arial"/>
          <w:b/>
          <w:bCs/>
          <w:sz w:val="22"/>
          <w:szCs w:val="22"/>
        </w:rPr>
      </w:pPr>
      <w:r w:rsidRPr="005F3E40">
        <w:rPr>
          <w:rFonts w:ascii="Arial" w:hAnsi="Arial" w:cs="Arial"/>
          <w:b/>
          <w:bCs/>
          <w:sz w:val="22"/>
          <w:szCs w:val="22"/>
        </w:rPr>
        <w:t>Local Housing Need</w:t>
      </w:r>
    </w:p>
    <w:p w14:paraId="6D3E85A2" w14:textId="77777777" w:rsidR="005F3E40" w:rsidRPr="005F3E40" w:rsidRDefault="005F3E40" w:rsidP="00F96A66">
      <w:pPr>
        <w:spacing w:line="360" w:lineRule="auto"/>
        <w:jc w:val="both"/>
        <w:rPr>
          <w:rFonts w:ascii="Arial" w:hAnsi="Arial" w:cs="Arial"/>
          <w:sz w:val="22"/>
          <w:szCs w:val="22"/>
        </w:rPr>
      </w:pPr>
    </w:p>
    <w:p w14:paraId="165DD0C5" w14:textId="77777777" w:rsidR="005F3E40" w:rsidRPr="00DE7654" w:rsidRDefault="005F3E40" w:rsidP="00F96A66">
      <w:pPr>
        <w:spacing w:line="360" w:lineRule="auto"/>
        <w:jc w:val="both"/>
        <w:rPr>
          <w:rFonts w:ascii="Arial" w:hAnsi="Arial" w:cs="Arial"/>
          <w:i/>
          <w:iCs/>
          <w:sz w:val="22"/>
          <w:szCs w:val="22"/>
          <w:u w:val="single"/>
        </w:rPr>
      </w:pPr>
      <w:r w:rsidRPr="00DE7654">
        <w:rPr>
          <w:rFonts w:ascii="Arial" w:hAnsi="Arial" w:cs="Arial"/>
          <w:i/>
          <w:iCs/>
          <w:sz w:val="22"/>
          <w:szCs w:val="22"/>
          <w:u w:val="single"/>
        </w:rPr>
        <w:t>Q.60 Is there any substantive evidence to demonstrate that it would be appropriate to plan for a higher housing need figure than the standard method indicates in this case as per advice set out in the PPG (Paragraph: 010 Reference ID: 2a-010-20201216)?</w:t>
      </w:r>
    </w:p>
    <w:p w14:paraId="0E8A53C9" w14:textId="77777777" w:rsidR="005F3E40" w:rsidRDefault="005F3E40" w:rsidP="00F96A66">
      <w:pPr>
        <w:spacing w:line="360" w:lineRule="auto"/>
        <w:jc w:val="both"/>
        <w:rPr>
          <w:rFonts w:ascii="Arial" w:hAnsi="Arial" w:cs="Arial"/>
          <w:sz w:val="22"/>
          <w:szCs w:val="22"/>
        </w:rPr>
      </w:pPr>
    </w:p>
    <w:p w14:paraId="0DCE5FBF" w14:textId="028F1B4F" w:rsidR="00DE7654" w:rsidRDefault="00DE7654" w:rsidP="00F96A66">
      <w:pPr>
        <w:spacing w:line="360" w:lineRule="auto"/>
        <w:jc w:val="both"/>
        <w:rPr>
          <w:rFonts w:ascii="Arial" w:hAnsi="Arial" w:cs="Arial"/>
          <w:sz w:val="22"/>
          <w:szCs w:val="22"/>
        </w:rPr>
      </w:pPr>
      <w:r>
        <w:rPr>
          <w:rFonts w:ascii="Arial" w:hAnsi="Arial" w:cs="Arial"/>
          <w:sz w:val="22"/>
          <w:szCs w:val="22"/>
        </w:rPr>
        <w:t>No comment</w:t>
      </w:r>
      <w:r w:rsidR="00320883">
        <w:rPr>
          <w:rFonts w:ascii="Arial" w:hAnsi="Arial" w:cs="Arial"/>
          <w:sz w:val="22"/>
          <w:szCs w:val="22"/>
        </w:rPr>
        <w:t>.</w:t>
      </w:r>
    </w:p>
    <w:p w14:paraId="4A971C00" w14:textId="77777777" w:rsidR="005F3E40" w:rsidRDefault="005F3E40" w:rsidP="00F96A66">
      <w:pPr>
        <w:spacing w:line="360" w:lineRule="auto"/>
        <w:jc w:val="both"/>
        <w:rPr>
          <w:rFonts w:ascii="Arial" w:hAnsi="Arial" w:cs="Arial"/>
          <w:sz w:val="22"/>
          <w:szCs w:val="22"/>
        </w:rPr>
      </w:pPr>
    </w:p>
    <w:p w14:paraId="281EC8BF" w14:textId="6BBCF1DA" w:rsidR="005F3E40" w:rsidRPr="005F3E40" w:rsidRDefault="005F3E40" w:rsidP="00F96A66">
      <w:pPr>
        <w:spacing w:line="360" w:lineRule="auto"/>
        <w:jc w:val="both"/>
        <w:rPr>
          <w:rFonts w:ascii="Arial" w:hAnsi="Arial" w:cs="Arial"/>
          <w:b/>
          <w:bCs/>
          <w:sz w:val="22"/>
          <w:szCs w:val="22"/>
        </w:rPr>
      </w:pPr>
      <w:r w:rsidRPr="005F3E40">
        <w:rPr>
          <w:rFonts w:ascii="Arial" w:hAnsi="Arial" w:cs="Arial"/>
          <w:b/>
          <w:bCs/>
          <w:sz w:val="22"/>
          <w:szCs w:val="22"/>
        </w:rPr>
        <w:t>Unmet needs of neighbouring areas</w:t>
      </w:r>
    </w:p>
    <w:p w14:paraId="5B0E5E66" w14:textId="77777777" w:rsidR="005F3E40" w:rsidRDefault="005F3E40" w:rsidP="00F96A66">
      <w:pPr>
        <w:spacing w:line="360" w:lineRule="auto"/>
        <w:jc w:val="both"/>
        <w:rPr>
          <w:rFonts w:ascii="Arial" w:hAnsi="Arial" w:cs="Arial"/>
          <w:sz w:val="22"/>
          <w:szCs w:val="22"/>
        </w:rPr>
      </w:pPr>
    </w:p>
    <w:p w14:paraId="4007FD30" w14:textId="221A03BE" w:rsidR="005F3E40" w:rsidRPr="00DE7654" w:rsidRDefault="005F3E40" w:rsidP="00F96A66">
      <w:pPr>
        <w:spacing w:line="360" w:lineRule="auto"/>
        <w:jc w:val="both"/>
        <w:rPr>
          <w:rFonts w:ascii="Arial" w:hAnsi="Arial" w:cs="Arial"/>
          <w:i/>
          <w:iCs/>
          <w:sz w:val="22"/>
          <w:szCs w:val="22"/>
          <w:u w:val="single"/>
        </w:rPr>
      </w:pPr>
      <w:r w:rsidRPr="00DE7654">
        <w:rPr>
          <w:rFonts w:ascii="Arial" w:hAnsi="Arial" w:cs="Arial"/>
          <w:i/>
          <w:iCs/>
          <w:sz w:val="22"/>
          <w:szCs w:val="22"/>
          <w:u w:val="single"/>
        </w:rPr>
        <w:t>Q.61 Is there any substantive evidence that the Plan should be accommodating unmet need from neighbours, and if so, would it be sound to do so?</w:t>
      </w:r>
    </w:p>
    <w:p w14:paraId="5D1B8B1F" w14:textId="77777777" w:rsidR="005F3E40" w:rsidRDefault="005F3E40" w:rsidP="00F96A66">
      <w:pPr>
        <w:spacing w:line="360" w:lineRule="auto"/>
        <w:jc w:val="both"/>
        <w:rPr>
          <w:rFonts w:ascii="Arial" w:hAnsi="Arial" w:cs="Arial"/>
          <w:sz w:val="22"/>
          <w:szCs w:val="22"/>
        </w:rPr>
      </w:pPr>
    </w:p>
    <w:p w14:paraId="5D6CFE6A" w14:textId="02C94845" w:rsidR="003E5EFC" w:rsidRDefault="00DE7654" w:rsidP="00F96A66">
      <w:pPr>
        <w:spacing w:line="360" w:lineRule="auto"/>
        <w:jc w:val="both"/>
        <w:rPr>
          <w:rFonts w:ascii="Arial" w:hAnsi="Arial" w:cs="Arial"/>
          <w:sz w:val="22"/>
          <w:szCs w:val="22"/>
        </w:rPr>
      </w:pPr>
      <w:r>
        <w:rPr>
          <w:rFonts w:ascii="Arial" w:hAnsi="Arial" w:cs="Arial"/>
          <w:sz w:val="22"/>
          <w:szCs w:val="22"/>
        </w:rPr>
        <w:t xml:space="preserve">There is </w:t>
      </w:r>
      <w:r w:rsidR="000D71AC">
        <w:rPr>
          <w:rFonts w:ascii="Arial" w:hAnsi="Arial" w:cs="Arial"/>
          <w:sz w:val="22"/>
          <w:szCs w:val="22"/>
        </w:rPr>
        <w:t xml:space="preserve">evidence to show that there are unmet needs arising from a number of neighbouring </w:t>
      </w:r>
      <w:r w:rsidR="000D5C14">
        <w:rPr>
          <w:rFonts w:ascii="Arial" w:hAnsi="Arial" w:cs="Arial"/>
          <w:sz w:val="22"/>
          <w:szCs w:val="22"/>
        </w:rPr>
        <w:t>areas</w:t>
      </w:r>
      <w:r w:rsidR="000D71AC">
        <w:rPr>
          <w:rFonts w:ascii="Arial" w:hAnsi="Arial" w:cs="Arial"/>
          <w:sz w:val="22"/>
          <w:szCs w:val="22"/>
        </w:rPr>
        <w:t xml:space="preserve">. </w:t>
      </w:r>
      <w:r w:rsidR="00976297">
        <w:rPr>
          <w:rFonts w:ascii="Arial" w:hAnsi="Arial" w:cs="Arial"/>
          <w:sz w:val="22"/>
          <w:szCs w:val="22"/>
        </w:rPr>
        <w:t xml:space="preserve">Horsham the recently sub mitted local plan </w:t>
      </w:r>
      <w:r w:rsidR="00207523">
        <w:rPr>
          <w:rFonts w:ascii="Arial" w:hAnsi="Arial" w:cs="Arial"/>
          <w:sz w:val="22"/>
          <w:szCs w:val="22"/>
        </w:rPr>
        <w:t>sets out a shortfall of 2,275 homes over the plan perio</w:t>
      </w:r>
      <w:r w:rsidR="008F1597">
        <w:rPr>
          <w:rFonts w:ascii="Arial" w:hAnsi="Arial" w:cs="Arial"/>
          <w:sz w:val="22"/>
          <w:szCs w:val="22"/>
        </w:rPr>
        <w:t>d and Havant</w:t>
      </w:r>
      <w:r w:rsidR="00EE15C6">
        <w:rPr>
          <w:rFonts w:ascii="Arial" w:hAnsi="Arial" w:cs="Arial"/>
          <w:sz w:val="22"/>
          <w:szCs w:val="22"/>
        </w:rPr>
        <w:t>,</w:t>
      </w:r>
      <w:r w:rsidR="008F1597">
        <w:rPr>
          <w:rFonts w:ascii="Arial" w:hAnsi="Arial" w:cs="Arial"/>
          <w:sz w:val="22"/>
          <w:szCs w:val="22"/>
        </w:rPr>
        <w:t xml:space="preserve"> to the west </w:t>
      </w:r>
      <w:r w:rsidR="00EE15C6">
        <w:rPr>
          <w:rFonts w:ascii="Arial" w:hAnsi="Arial" w:cs="Arial"/>
          <w:sz w:val="22"/>
          <w:szCs w:val="22"/>
        </w:rPr>
        <w:t xml:space="preserve">of Chichester, have also stated that it is unlikely that </w:t>
      </w:r>
      <w:r w:rsidR="008F1597">
        <w:rPr>
          <w:rFonts w:ascii="Arial" w:hAnsi="Arial" w:cs="Arial"/>
          <w:sz w:val="22"/>
          <w:szCs w:val="22"/>
        </w:rPr>
        <w:t xml:space="preserve">will be to meet </w:t>
      </w:r>
      <w:r w:rsidR="00EE15C6">
        <w:rPr>
          <w:rFonts w:ascii="Arial" w:hAnsi="Arial" w:cs="Arial"/>
          <w:sz w:val="22"/>
          <w:szCs w:val="22"/>
        </w:rPr>
        <w:t>their</w:t>
      </w:r>
      <w:r w:rsidR="008F1597">
        <w:rPr>
          <w:rFonts w:ascii="Arial" w:hAnsi="Arial" w:cs="Arial"/>
          <w:sz w:val="22"/>
          <w:szCs w:val="22"/>
        </w:rPr>
        <w:t xml:space="preserve"> own </w:t>
      </w:r>
      <w:r w:rsidR="00EE15C6">
        <w:rPr>
          <w:rFonts w:ascii="Arial" w:hAnsi="Arial" w:cs="Arial"/>
          <w:sz w:val="22"/>
          <w:szCs w:val="22"/>
        </w:rPr>
        <w:t xml:space="preserve">housing </w:t>
      </w:r>
      <w:r w:rsidR="008F1597">
        <w:rPr>
          <w:rFonts w:ascii="Arial" w:hAnsi="Arial" w:cs="Arial"/>
          <w:sz w:val="22"/>
          <w:szCs w:val="22"/>
        </w:rPr>
        <w:t>needs</w:t>
      </w:r>
      <w:r w:rsidR="00973528">
        <w:rPr>
          <w:rFonts w:ascii="Arial" w:hAnsi="Arial" w:cs="Arial"/>
          <w:sz w:val="22"/>
          <w:szCs w:val="22"/>
        </w:rPr>
        <w:t xml:space="preserve"> with a shortfall in the region of 4,000 homes </w:t>
      </w:r>
      <w:r w:rsidR="00EE15C6">
        <w:rPr>
          <w:rFonts w:ascii="Arial" w:hAnsi="Arial" w:cs="Arial"/>
          <w:sz w:val="22"/>
          <w:szCs w:val="22"/>
        </w:rPr>
        <w:t xml:space="preserve"> </w:t>
      </w:r>
      <w:r w:rsidR="005E1CD7">
        <w:rPr>
          <w:rFonts w:ascii="Arial" w:hAnsi="Arial" w:cs="Arial"/>
          <w:sz w:val="22"/>
          <w:szCs w:val="22"/>
        </w:rPr>
        <w:t xml:space="preserve">– a situation that is unlikely to be </w:t>
      </w:r>
      <w:r w:rsidR="00566662">
        <w:rPr>
          <w:rFonts w:ascii="Arial" w:hAnsi="Arial" w:cs="Arial"/>
          <w:sz w:val="22"/>
          <w:szCs w:val="22"/>
        </w:rPr>
        <w:t>rectified</w:t>
      </w:r>
      <w:r w:rsidR="005E1CD7">
        <w:rPr>
          <w:rFonts w:ascii="Arial" w:hAnsi="Arial" w:cs="Arial"/>
          <w:sz w:val="22"/>
          <w:szCs w:val="22"/>
        </w:rPr>
        <w:t xml:space="preserve"> if the </w:t>
      </w:r>
      <w:r w:rsidR="00566662">
        <w:rPr>
          <w:rFonts w:ascii="Arial" w:hAnsi="Arial" w:cs="Arial"/>
          <w:sz w:val="22"/>
          <w:szCs w:val="22"/>
        </w:rPr>
        <w:t>proposed</w:t>
      </w:r>
      <w:r w:rsidR="005E1CD7">
        <w:rPr>
          <w:rFonts w:ascii="Arial" w:hAnsi="Arial" w:cs="Arial"/>
          <w:sz w:val="22"/>
          <w:szCs w:val="22"/>
        </w:rPr>
        <w:t xml:space="preserve"> changes to the standard methods are adopted which </w:t>
      </w:r>
      <w:r w:rsidR="00566662">
        <w:rPr>
          <w:rFonts w:ascii="Arial" w:hAnsi="Arial" w:cs="Arial"/>
          <w:sz w:val="22"/>
          <w:szCs w:val="22"/>
        </w:rPr>
        <w:t>increase</w:t>
      </w:r>
      <w:r w:rsidR="005E1CD7">
        <w:rPr>
          <w:rFonts w:ascii="Arial" w:hAnsi="Arial" w:cs="Arial"/>
          <w:sz w:val="22"/>
          <w:szCs w:val="22"/>
        </w:rPr>
        <w:t xml:space="preserve"> Havant’s housing needs from </w:t>
      </w:r>
      <w:r w:rsidR="00566662">
        <w:rPr>
          <w:rFonts w:ascii="Arial" w:hAnsi="Arial" w:cs="Arial"/>
          <w:sz w:val="22"/>
          <w:szCs w:val="22"/>
        </w:rPr>
        <w:t>508 dpa to 874 dpa.</w:t>
      </w:r>
      <w:r w:rsidR="00841A85">
        <w:rPr>
          <w:rFonts w:ascii="Arial" w:hAnsi="Arial" w:cs="Arial"/>
          <w:sz w:val="22"/>
          <w:szCs w:val="22"/>
        </w:rPr>
        <w:t xml:space="preserve"> </w:t>
      </w:r>
      <w:r w:rsidR="00701C3F">
        <w:rPr>
          <w:rFonts w:ascii="Arial" w:hAnsi="Arial" w:cs="Arial"/>
          <w:sz w:val="22"/>
          <w:szCs w:val="22"/>
        </w:rPr>
        <w:t xml:space="preserve">While not adjacent it is also </w:t>
      </w:r>
      <w:r w:rsidR="00370C7B">
        <w:rPr>
          <w:rFonts w:ascii="Arial" w:hAnsi="Arial" w:cs="Arial"/>
          <w:sz w:val="22"/>
          <w:szCs w:val="22"/>
        </w:rPr>
        <w:t>important</w:t>
      </w:r>
      <w:r w:rsidR="00701C3F">
        <w:rPr>
          <w:rFonts w:ascii="Arial" w:hAnsi="Arial" w:cs="Arial"/>
          <w:sz w:val="22"/>
          <w:szCs w:val="22"/>
        </w:rPr>
        <w:t xml:space="preserve"> to note that </w:t>
      </w:r>
      <w:r w:rsidR="00370C7B">
        <w:rPr>
          <w:rFonts w:ascii="Arial" w:hAnsi="Arial" w:cs="Arial"/>
          <w:sz w:val="22"/>
          <w:szCs w:val="22"/>
        </w:rPr>
        <w:t xml:space="preserve">authorises such as Worthing and Portsmouth have, or are likely to have signficnasnt shortfalls. Worthing’s adopted local plan </w:t>
      </w:r>
      <w:r w:rsidR="00617F8D">
        <w:rPr>
          <w:rFonts w:ascii="Arial" w:hAnsi="Arial" w:cs="Arial"/>
          <w:sz w:val="22"/>
          <w:szCs w:val="22"/>
        </w:rPr>
        <w:t xml:space="preserve">sets out a shortfall </w:t>
      </w:r>
      <w:r w:rsidR="003E057E">
        <w:rPr>
          <w:rFonts w:ascii="Arial" w:hAnsi="Arial" w:cs="Arial"/>
          <w:sz w:val="22"/>
          <w:szCs w:val="22"/>
        </w:rPr>
        <w:t>of over 10,000 homes and Portsmouth’s recent regulation 19</w:t>
      </w:r>
      <w:r w:rsidR="007814C3">
        <w:rPr>
          <w:rFonts w:ascii="Arial" w:hAnsi="Arial" w:cs="Arial"/>
          <w:sz w:val="22"/>
          <w:szCs w:val="22"/>
        </w:rPr>
        <w:t xml:space="preserve"> consultation on their local plan noted </w:t>
      </w:r>
      <w:r w:rsidR="00C44A22">
        <w:rPr>
          <w:rFonts w:ascii="Arial" w:hAnsi="Arial" w:cs="Arial"/>
          <w:sz w:val="22"/>
          <w:szCs w:val="22"/>
        </w:rPr>
        <w:t>a 3,500 home shortfall.</w:t>
      </w:r>
      <w:r w:rsidR="00CA5336">
        <w:rPr>
          <w:rFonts w:ascii="Arial" w:hAnsi="Arial" w:cs="Arial"/>
          <w:sz w:val="22"/>
          <w:szCs w:val="22"/>
        </w:rPr>
        <w:t xml:space="preserve"> </w:t>
      </w:r>
      <w:r w:rsidR="00A66ED2">
        <w:rPr>
          <w:rFonts w:ascii="Arial" w:hAnsi="Arial" w:cs="Arial"/>
          <w:sz w:val="22"/>
          <w:szCs w:val="22"/>
        </w:rPr>
        <w:t xml:space="preserve">Some of the constraints, such as water neutrality in Horsham, </w:t>
      </w:r>
      <w:r w:rsidR="000022AD">
        <w:rPr>
          <w:rFonts w:ascii="Arial" w:hAnsi="Arial" w:cs="Arial"/>
          <w:sz w:val="22"/>
          <w:szCs w:val="22"/>
        </w:rPr>
        <w:t xml:space="preserve">can be addressed but others such as Havant, Portsmouth and Worthing are a result of high needs </w:t>
      </w:r>
      <w:r w:rsidR="00C1305D">
        <w:rPr>
          <w:rFonts w:ascii="Arial" w:hAnsi="Arial" w:cs="Arial"/>
          <w:sz w:val="22"/>
          <w:szCs w:val="22"/>
        </w:rPr>
        <w:t xml:space="preserve">and highly constrained boundaries – issues that cannot be </w:t>
      </w:r>
      <w:r w:rsidR="00A678F7">
        <w:rPr>
          <w:rFonts w:ascii="Arial" w:hAnsi="Arial" w:cs="Arial"/>
          <w:sz w:val="22"/>
          <w:szCs w:val="22"/>
        </w:rPr>
        <w:t>addressed overtime.</w:t>
      </w:r>
    </w:p>
    <w:p w14:paraId="0DE1F29E" w14:textId="77777777" w:rsidR="003E5EFC" w:rsidRDefault="003E5EFC" w:rsidP="00F96A66">
      <w:pPr>
        <w:spacing w:line="360" w:lineRule="auto"/>
        <w:jc w:val="both"/>
        <w:rPr>
          <w:rFonts w:ascii="Arial" w:hAnsi="Arial" w:cs="Arial"/>
          <w:sz w:val="22"/>
          <w:szCs w:val="22"/>
        </w:rPr>
      </w:pPr>
    </w:p>
    <w:p w14:paraId="2D0474F6" w14:textId="3A7D8972" w:rsidR="00DE7654" w:rsidRDefault="0078369E" w:rsidP="00F96A66">
      <w:pPr>
        <w:spacing w:line="360" w:lineRule="auto"/>
        <w:jc w:val="both"/>
        <w:rPr>
          <w:rFonts w:ascii="Arial" w:hAnsi="Arial" w:cs="Arial"/>
          <w:sz w:val="22"/>
          <w:szCs w:val="22"/>
        </w:rPr>
      </w:pPr>
      <w:r>
        <w:rPr>
          <w:rFonts w:ascii="Arial" w:hAnsi="Arial" w:cs="Arial"/>
          <w:sz w:val="22"/>
          <w:szCs w:val="22"/>
        </w:rPr>
        <w:t>Therefore,</w:t>
      </w:r>
      <w:r w:rsidR="003E5EFC">
        <w:rPr>
          <w:rFonts w:ascii="Arial" w:hAnsi="Arial" w:cs="Arial"/>
          <w:sz w:val="22"/>
          <w:szCs w:val="22"/>
        </w:rPr>
        <w:t xml:space="preserve"> if there is capacity in Chichester to meet some of those needs then it would be sound for i</w:t>
      </w:r>
      <w:r>
        <w:rPr>
          <w:rFonts w:ascii="Arial" w:hAnsi="Arial" w:cs="Arial"/>
          <w:sz w:val="22"/>
          <w:szCs w:val="22"/>
        </w:rPr>
        <w:t xml:space="preserve">t to do so. </w:t>
      </w:r>
      <w:r w:rsidR="000D71AC">
        <w:rPr>
          <w:rFonts w:ascii="Arial" w:hAnsi="Arial" w:cs="Arial"/>
          <w:sz w:val="22"/>
          <w:szCs w:val="22"/>
        </w:rPr>
        <w:t xml:space="preserve">As for </w:t>
      </w:r>
      <w:r w:rsidR="00467F7F">
        <w:rPr>
          <w:rFonts w:ascii="Arial" w:hAnsi="Arial" w:cs="Arial"/>
          <w:sz w:val="22"/>
          <w:szCs w:val="22"/>
        </w:rPr>
        <w:t>whether it is sound to</w:t>
      </w:r>
      <w:r w:rsidR="00CA5C92">
        <w:rPr>
          <w:rFonts w:ascii="Arial" w:hAnsi="Arial" w:cs="Arial"/>
          <w:sz w:val="22"/>
          <w:szCs w:val="22"/>
        </w:rPr>
        <w:t xml:space="preserve"> accommodate these</w:t>
      </w:r>
      <w:r w:rsidR="00467F7F">
        <w:rPr>
          <w:rFonts w:ascii="Arial" w:hAnsi="Arial" w:cs="Arial"/>
          <w:sz w:val="22"/>
          <w:szCs w:val="22"/>
        </w:rPr>
        <w:t xml:space="preserve"> depends on whether the constraints highlighted by the Council with regard to transport are </w:t>
      </w:r>
      <w:r w:rsidR="004F572A">
        <w:rPr>
          <w:rFonts w:ascii="Arial" w:hAnsi="Arial" w:cs="Arial"/>
          <w:sz w:val="22"/>
          <w:szCs w:val="22"/>
        </w:rPr>
        <w:t xml:space="preserve">considered to be </w:t>
      </w:r>
      <w:r w:rsidR="000A6197">
        <w:rPr>
          <w:rFonts w:ascii="Arial" w:hAnsi="Arial" w:cs="Arial"/>
          <w:sz w:val="22"/>
          <w:szCs w:val="22"/>
        </w:rPr>
        <w:t>robust</w:t>
      </w:r>
      <w:r w:rsidR="004F572A">
        <w:rPr>
          <w:rFonts w:ascii="Arial" w:hAnsi="Arial" w:cs="Arial"/>
          <w:sz w:val="22"/>
          <w:szCs w:val="22"/>
        </w:rPr>
        <w:t xml:space="preserve">. </w:t>
      </w:r>
      <w:r w:rsidR="00703CEE">
        <w:rPr>
          <w:rFonts w:ascii="Arial" w:hAnsi="Arial" w:cs="Arial"/>
          <w:sz w:val="22"/>
          <w:szCs w:val="22"/>
        </w:rPr>
        <w:t xml:space="preserve">If </w:t>
      </w:r>
      <w:r w:rsidR="00C43C51">
        <w:rPr>
          <w:rFonts w:ascii="Arial" w:hAnsi="Arial" w:cs="Arial"/>
          <w:sz w:val="22"/>
          <w:szCs w:val="22"/>
        </w:rPr>
        <w:t xml:space="preserve">through the </w:t>
      </w:r>
      <w:r w:rsidR="000048AB">
        <w:rPr>
          <w:rFonts w:ascii="Arial" w:hAnsi="Arial" w:cs="Arial"/>
          <w:sz w:val="22"/>
          <w:szCs w:val="22"/>
        </w:rPr>
        <w:t>examination,</w:t>
      </w:r>
      <w:r w:rsidR="00C43C51">
        <w:rPr>
          <w:rFonts w:ascii="Arial" w:hAnsi="Arial" w:cs="Arial"/>
          <w:sz w:val="22"/>
          <w:szCs w:val="22"/>
        </w:rPr>
        <w:t xml:space="preserve"> it is found that here is capacity over </w:t>
      </w:r>
      <w:r w:rsidR="00946500">
        <w:rPr>
          <w:rFonts w:ascii="Arial" w:hAnsi="Arial" w:cs="Arial"/>
          <w:sz w:val="22"/>
          <w:szCs w:val="22"/>
        </w:rPr>
        <w:t>and</w:t>
      </w:r>
      <w:r w:rsidR="00C43C51">
        <w:rPr>
          <w:rFonts w:ascii="Arial" w:hAnsi="Arial" w:cs="Arial"/>
          <w:sz w:val="22"/>
          <w:szCs w:val="22"/>
        </w:rPr>
        <w:t xml:space="preserve"> above the minimum Chichester are required to deliver then the Council would need to consider </w:t>
      </w:r>
      <w:r w:rsidR="00946500">
        <w:rPr>
          <w:rFonts w:ascii="Arial" w:hAnsi="Arial" w:cs="Arial"/>
          <w:sz w:val="22"/>
          <w:szCs w:val="22"/>
        </w:rPr>
        <w:t xml:space="preserve">the </w:t>
      </w:r>
      <w:r w:rsidR="000048AB">
        <w:rPr>
          <w:rFonts w:ascii="Arial" w:hAnsi="Arial" w:cs="Arial"/>
          <w:sz w:val="22"/>
          <w:szCs w:val="22"/>
        </w:rPr>
        <w:t>allocation</w:t>
      </w:r>
      <w:r w:rsidR="00946500">
        <w:rPr>
          <w:rFonts w:ascii="Arial" w:hAnsi="Arial" w:cs="Arial"/>
          <w:sz w:val="22"/>
          <w:szCs w:val="22"/>
        </w:rPr>
        <w:t xml:space="preserve"> of additional sites to address some of these needs. </w:t>
      </w:r>
    </w:p>
    <w:p w14:paraId="2FAFEFAB" w14:textId="77777777" w:rsidR="005F3E40" w:rsidRDefault="005F3E40" w:rsidP="00F96A66">
      <w:pPr>
        <w:spacing w:line="360" w:lineRule="auto"/>
        <w:jc w:val="both"/>
        <w:rPr>
          <w:rFonts w:ascii="Arial" w:hAnsi="Arial" w:cs="Arial"/>
          <w:sz w:val="22"/>
          <w:szCs w:val="22"/>
        </w:rPr>
      </w:pPr>
    </w:p>
    <w:p w14:paraId="0D88DDF4" w14:textId="04B505E6" w:rsidR="005F3E40" w:rsidRPr="005F3E40" w:rsidRDefault="005F3E40" w:rsidP="00F96A66">
      <w:pPr>
        <w:spacing w:line="360" w:lineRule="auto"/>
        <w:jc w:val="both"/>
        <w:rPr>
          <w:rFonts w:ascii="Arial" w:hAnsi="Arial" w:cs="Arial"/>
          <w:b/>
          <w:bCs/>
          <w:sz w:val="22"/>
          <w:szCs w:val="22"/>
        </w:rPr>
      </w:pPr>
      <w:r w:rsidRPr="005F3E40">
        <w:rPr>
          <w:rFonts w:ascii="Arial" w:hAnsi="Arial" w:cs="Arial"/>
          <w:b/>
          <w:bCs/>
          <w:sz w:val="22"/>
          <w:szCs w:val="22"/>
        </w:rPr>
        <w:t>Affordable Housing need</w:t>
      </w:r>
    </w:p>
    <w:p w14:paraId="5ECB9FDE" w14:textId="77777777" w:rsidR="00E7324E" w:rsidRDefault="00E7324E" w:rsidP="00F96A66">
      <w:pPr>
        <w:spacing w:line="360" w:lineRule="auto"/>
        <w:jc w:val="both"/>
        <w:rPr>
          <w:rFonts w:ascii="Arial" w:hAnsi="Arial" w:cs="Arial"/>
          <w:sz w:val="22"/>
          <w:szCs w:val="22"/>
        </w:rPr>
      </w:pPr>
    </w:p>
    <w:p w14:paraId="56B78001" w14:textId="0E75F884" w:rsidR="005F3E40" w:rsidRPr="004F572A" w:rsidRDefault="005F3E40" w:rsidP="00F96A66">
      <w:pPr>
        <w:spacing w:line="360" w:lineRule="auto"/>
        <w:jc w:val="both"/>
        <w:rPr>
          <w:rFonts w:ascii="Arial" w:hAnsi="Arial" w:cs="Arial"/>
          <w:i/>
          <w:iCs/>
          <w:sz w:val="22"/>
          <w:szCs w:val="22"/>
          <w:u w:val="single"/>
        </w:rPr>
      </w:pPr>
      <w:r w:rsidRPr="004F572A">
        <w:rPr>
          <w:rFonts w:ascii="Arial" w:hAnsi="Arial" w:cs="Arial"/>
          <w:i/>
          <w:iCs/>
          <w:sz w:val="22"/>
          <w:szCs w:val="22"/>
          <w:u w:val="single"/>
        </w:rPr>
        <w:t>Q.62 Is there any substantive evidence to demonstrate that there should be an adjustment to the minimum housing requirement to help deliver affordable housing with regard to the PPG (Paragraph: 024 Reference ID: 2a-024-20190220), and if so, would that be effective?</w:t>
      </w:r>
    </w:p>
    <w:p w14:paraId="363E2E18" w14:textId="77777777" w:rsidR="00E7324E" w:rsidRDefault="00E7324E" w:rsidP="00F96A66">
      <w:pPr>
        <w:spacing w:line="360" w:lineRule="auto"/>
        <w:jc w:val="both"/>
        <w:rPr>
          <w:rFonts w:ascii="Arial" w:hAnsi="Arial" w:cs="Arial"/>
          <w:sz w:val="22"/>
          <w:szCs w:val="22"/>
        </w:rPr>
      </w:pPr>
    </w:p>
    <w:p w14:paraId="651867A0" w14:textId="02F4C4E1" w:rsidR="00E7324E" w:rsidRDefault="004F572A" w:rsidP="00F96A66">
      <w:pPr>
        <w:spacing w:line="360" w:lineRule="auto"/>
        <w:jc w:val="both"/>
        <w:rPr>
          <w:rFonts w:ascii="Arial" w:hAnsi="Arial" w:cs="Arial"/>
          <w:sz w:val="22"/>
          <w:szCs w:val="22"/>
        </w:rPr>
      </w:pPr>
      <w:r>
        <w:rPr>
          <w:rFonts w:ascii="Arial" w:hAnsi="Arial" w:cs="Arial"/>
          <w:sz w:val="22"/>
          <w:szCs w:val="22"/>
        </w:rPr>
        <w:t xml:space="preserve">Where </w:t>
      </w:r>
      <w:r w:rsidR="000E242F">
        <w:rPr>
          <w:rFonts w:ascii="Arial" w:hAnsi="Arial" w:cs="Arial"/>
          <w:sz w:val="22"/>
          <w:szCs w:val="22"/>
        </w:rPr>
        <w:t>affordable</w:t>
      </w:r>
      <w:r>
        <w:rPr>
          <w:rFonts w:ascii="Arial" w:hAnsi="Arial" w:cs="Arial"/>
          <w:sz w:val="22"/>
          <w:szCs w:val="22"/>
        </w:rPr>
        <w:t xml:space="preserve"> housing needs are not being met in full </w:t>
      </w:r>
      <w:r w:rsidR="000E242F">
        <w:rPr>
          <w:rFonts w:ascii="Arial" w:hAnsi="Arial" w:cs="Arial"/>
          <w:sz w:val="22"/>
          <w:szCs w:val="22"/>
        </w:rPr>
        <w:t xml:space="preserve">an adjustment to the housing requirement would be appropriate. Again, in the case of Chichester this will very much depend on whether the constraints presented </w:t>
      </w:r>
      <w:r w:rsidR="0020714E">
        <w:rPr>
          <w:rFonts w:ascii="Arial" w:hAnsi="Arial" w:cs="Arial"/>
          <w:sz w:val="22"/>
          <w:szCs w:val="22"/>
        </w:rPr>
        <w:t xml:space="preserve">that is limiting growth in the </w:t>
      </w:r>
      <w:r w:rsidR="00217A77">
        <w:rPr>
          <w:rFonts w:ascii="Arial" w:hAnsi="Arial" w:cs="Arial"/>
          <w:sz w:val="22"/>
          <w:szCs w:val="22"/>
        </w:rPr>
        <w:t>district</w:t>
      </w:r>
      <w:r w:rsidR="0020714E">
        <w:rPr>
          <w:rFonts w:ascii="Arial" w:hAnsi="Arial" w:cs="Arial"/>
          <w:sz w:val="22"/>
          <w:szCs w:val="22"/>
        </w:rPr>
        <w:t xml:space="preserve"> are considered to be sound.</w:t>
      </w:r>
    </w:p>
    <w:p w14:paraId="2DE494C2" w14:textId="77777777" w:rsidR="00E7324E" w:rsidRDefault="00E7324E" w:rsidP="00F96A66">
      <w:pPr>
        <w:spacing w:line="360" w:lineRule="auto"/>
        <w:jc w:val="both"/>
        <w:rPr>
          <w:rFonts w:ascii="Arial" w:hAnsi="Arial" w:cs="Arial"/>
          <w:sz w:val="22"/>
          <w:szCs w:val="22"/>
        </w:rPr>
      </w:pPr>
    </w:p>
    <w:p w14:paraId="58B68033" w14:textId="44C0DF2A" w:rsidR="005F3E40" w:rsidRPr="00E7324E" w:rsidRDefault="005F3E40" w:rsidP="00F96A66">
      <w:pPr>
        <w:spacing w:line="360" w:lineRule="auto"/>
        <w:jc w:val="both"/>
        <w:rPr>
          <w:rFonts w:ascii="Arial" w:hAnsi="Arial" w:cs="Arial"/>
          <w:b/>
          <w:bCs/>
          <w:sz w:val="22"/>
          <w:szCs w:val="22"/>
        </w:rPr>
      </w:pPr>
      <w:r w:rsidRPr="00E7324E">
        <w:rPr>
          <w:rFonts w:ascii="Arial" w:hAnsi="Arial" w:cs="Arial"/>
          <w:b/>
          <w:bCs/>
          <w:sz w:val="22"/>
          <w:szCs w:val="22"/>
        </w:rPr>
        <w:t>Housing needs of different groups in the community</w:t>
      </w:r>
    </w:p>
    <w:p w14:paraId="2FF24F0B" w14:textId="77777777" w:rsidR="00E7324E" w:rsidRDefault="00E7324E" w:rsidP="00F96A66">
      <w:pPr>
        <w:spacing w:line="360" w:lineRule="auto"/>
        <w:jc w:val="both"/>
        <w:rPr>
          <w:rFonts w:ascii="Arial" w:hAnsi="Arial" w:cs="Arial"/>
          <w:sz w:val="22"/>
          <w:szCs w:val="22"/>
        </w:rPr>
      </w:pPr>
    </w:p>
    <w:p w14:paraId="6C611C8F" w14:textId="744C58A9" w:rsidR="005F3E40" w:rsidRPr="0020714E" w:rsidRDefault="005F3E40" w:rsidP="00F96A66">
      <w:pPr>
        <w:spacing w:line="360" w:lineRule="auto"/>
        <w:jc w:val="both"/>
        <w:rPr>
          <w:rFonts w:ascii="Arial" w:hAnsi="Arial" w:cs="Arial"/>
          <w:i/>
          <w:iCs/>
          <w:sz w:val="22"/>
          <w:szCs w:val="22"/>
          <w:u w:val="single"/>
        </w:rPr>
      </w:pPr>
      <w:r w:rsidRPr="0020714E">
        <w:rPr>
          <w:rFonts w:ascii="Arial" w:hAnsi="Arial" w:cs="Arial"/>
          <w:i/>
          <w:iCs/>
          <w:sz w:val="22"/>
          <w:szCs w:val="22"/>
          <w:u w:val="single"/>
        </w:rPr>
        <w:t>Q.63 Is the Plan positively prepared in assessing and reflecting in its policies the size, type and tenure of housing needed for different groups in the community as per NPPF 62?</w:t>
      </w:r>
    </w:p>
    <w:p w14:paraId="11B2C3D9" w14:textId="77777777" w:rsidR="00E7324E" w:rsidRDefault="00E7324E" w:rsidP="00F96A66">
      <w:pPr>
        <w:spacing w:line="360" w:lineRule="auto"/>
        <w:jc w:val="both"/>
        <w:rPr>
          <w:rFonts w:ascii="Arial" w:hAnsi="Arial" w:cs="Arial"/>
          <w:sz w:val="22"/>
          <w:szCs w:val="22"/>
        </w:rPr>
      </w:pPr>
    </w:p>
    <w:p w14:paraId="33DC48B9" w14:textId="428C66A0" w:rsidR="0020714E" w:rsidRDefault="0020714E" w:rsidP="00F96A66">
      <w:pPr>
        <w:spacing w:line="360" w:lineRule="auto"/>
        <w:jc w:val="both"/>
        <w:rPr>
          <w:rFonts w:ascii="Arial" w:hAnsi="Arial" w:cs="Arial"/>
          <w:sz w:val="22"/>
          <w:szCs w:val="22"/>
        </w:rPr>
      </w:pPr>
      <w:r>
        <w:rPr>
          <w:rFonts w:ascii="Arial" w:hAnsi="Arial" w:cs="Arial"/>
          <w:sz w:val="22"/>
          <w:szCs w:val="22"/>
        </w:rPr>
        <w:t>No comment</w:t>
      </w:r>
    </w:p>
    <w:p w14:paraId="0B5E5797" w14:textId="77777777" w:rsidR="0020714E" w:rsidRDefault="0020714E" w:rsidP="00F96A66">
      <w:pPr>
        <w:spacing w:line="360" w:lineRule="auto"/>
        <w:jc w:val="both"/>
        <w:rPr>
          <w:rFonts w:ascii="Arial" w:hAnsi="Arial" w:cs="Arial"/>
          <w:sz w:val="22"/>
          <w:szCs w:val="22"/>
        </w:rPr>
      </w:pPr>
    </w:p>
    <w:p w14:paraId="649199B3" w14:textId="7DCF3860" w:rsidR="005F3E40" w:rsidRPr="00E7324E" w:rsidRDefault="005F3E40" w:rsidP="00F96A66">
      <w:pPr>
        <w:spacing w:line="360" w:lineRule="auto"/>
        <w:jc w:val="both"/>
        <w:rPr>
          <w:rFonts w:ascii="Arial" w:hAnsi="Arial" w:cs="Arial"/>
          <w:b/>
          <w:bCs/>
          <w:sz w:val="22"/>
          <w:szCs w:val="22"/>
        </w:rPr>
      </w:pPr>
      <w:r w:rsidRPr="00E7324E">
        <w:rPr>
          <w:rFonts w:ascii="Arial" w:hAnsi="Arial" w:cs="Arial"/>
          <w:b/>
          <w:bCs/>
          <w:sz w:val="22"/>
          <w:szCs w:val="22"/>
        </w:rPr>
        <w:t>Policy H1 Meeting Housing Needs</w:t>
      </w:r>
    </w:p>
    <w:p w14:paraId="0D6198CA" w14:textId="77777777" w:rsidR="00E7324E" w:rsidRDefault="00E7324E" w:rsidP="00F96A66">
      <w:pPr>
        <w:spacing w:line="360" w:lineRule="auto"/>
        <w:jc w:val="both"/>
        <w:rPr>
          <w:rFonts w:ascii="Arial" w:hAnsi="Arial" w:cs="Arial"/>
          <w:sz w:val="22"/>
          <w:szCs w:val="22"/>
        </w:rPr>
      </w:pPr>
    </w:p>
    <w:p w14:paraId="40C25CB1" w14:textId="121010CF" w:rsidR="005F3E40" w:rsidRPr="00E7324E" w:rsidRDefault="005F3E40" w:rsidP="00F96A66">
      <w:pPr>
        <w:spacing w:line="360" w:lineRule="auto"/>
        <w:jc w:val="both"/>
        <w:rPr>
          <w:rFonts w:ascii="Arial" w:hAnsi="Arial" w:cs="Arial"/>
          <w:b/>
          <w:bCs/>
          <w:sz w:val="22"/>
          <w:szCs w:val="22"/>
        </w:rPr>
      </w:pPr>
      <w:r w:rsidRPr="00E7324E">
        <w:rPr>
          <w:rFonts w:ascii="Arial" w:hAnsi="Arial" w:cs="Arial"/>
          <w:b/>
          <w:bCs/>
          <w:sz w:val="22"/>
          <w:szCs w:val="22"/>
        </w:rPr>
        <w:t>The housing requirement</w:t>
      </w:r>
    </w:p>
    <w:p w14:paraId="50868433" w14:textId="77777777" w:rsidR="00E7324E" w:rsidRDefault="00E7324E" w:rsidP="00F96A66">
      <w:pPr>
        <w:spacing w:line="360" w:lineRule="auto"/>
        <w:jc w:val="both"/>
        <w:rPr>
          <w:rFonts w:ascii="Arial" w:hAnsi="Arial" w:cs="Arial"/>
          <w:sz w:val="22"/>
          <w:szCs w:val="22"/>
        </w:rPr>
      </w:pPr>
    </w:p>
    <w:p w14:paraId="4A153F09" w14:textId="700AA207" w:rsidR="005F3E40" w:rsidRPr="00AC0C00" w:rsidRDefault="005F3E40" w:rsidP="00F96A66">
      <w:pPr>
        <w:spacing w:line="360" w:lineRule="auto"/>
        <w:jc w:val="both"/>
        <w:rPr>
          <w:rFonts w:ascii="Arial" w:hAnsi="Arial" w:cs="Arial"/>
          <w:i/>
          <w:iCs/>
          <w:sz w:val="22"/>
          <w:szCs w:val="22"/>
          <w:u w:val="single"/>
        </w:rPr>
      </w:pPr>
      <w:r w:rsidRPr="00AC0C00">
        <w:rPr>
          <w:rFonts w:ascii="Arial" w:hAnsi="Arial" w:cs="Arial"/>
          <w:i/>
          <w:iCs/>
          <w:sz w:val="22"/>
          <w:szCs w:val="22"/>
          <w:u w:val="single"/>
        </w:rPr>
        <w:t>Q.64 Policy H1 Meeting Housing Needs sets a housing requirement for the full plan period 2021 – 2039 of at least 10,350 dwellings. This is below the local housing need for the area as determined by the standard method.</w:t>
      </w:r>
      <w:r w:rsidR="006363BB" w:rsidRPr="00AC0C00">
        <w:rPr>
          <w:rFonts w:ascii="Arial" w:hAnsi="Arial" w:cs="Arial"/>
          <w:i/>
          <w:iCs/>
          <w:sz w:val="22"/>
          <w:szCs w:val="22"/>
          <w:u w:val="single"/>
        </w:rPr>
        <w:t xml:space="preserve"> </w:t>
      </w:r>
      <w:r w:rsidRPr="00AC0C00">
        <w:rPr>
          <w:rFonts w:ascii="Arial" w:hAnsi="Arial" w:cs="Arial"/>
          <w:i/>
          <w:iCs/>
          <w:sz w:val="22"/>
          <w:szCs w:val="22"/>
          <w:u w:val="single"/>
        </w:rPr>
        <w:t xml:space="preserve">The justification for the proposed provision of 535 dpa in the southern area has been considered under Matter 4A </w:t>
      </w:r>
      <w:r w:rsidRPr="00AC0C00">
        <w:rPr>
          <w:rFonts w:ascii="Arial" w:hAnsi="Arial" w:cs="Arial"/>
          <w:i/>
          <w:iCs/>
          <w:sz w:val="22"/>
          <w:szCs w:val="22"/>
          <w:u w:val="single"/>
        </w:rPr>
        <w:lastRenderedPageBreak/>
        <w:t>Transport. Is the proposed figure of 40 dpa in the northern part of the plan area justified?</w:t>
      </w:r>
    </w:p>
    <w:p w14:paraId="00275F46" w14:textId="77777777" w:rsidR="00E7324E" w:rsidRDefault="00E7324E" w:rsidP="00F96A66">
      <w:pPr>
        <w:spacing w:line="360" w:lineRule="auto"/>
        <w:jc w:val="both"/>
        <w:rPr>
          <w:rFonts w:ascii="Arial" w:hAnsi="Arial" w:cs="Arial"/>
          <w:sz w:val="22"/>
          <w:szCs w:val="22"/>
        </w:rPr>
      </w:pPr>
    </w:p>
    <w:p w14:paraId="75B45259" w14:textId="3B24108B" w:rsidR="00E7324E" w:rsidRDefault="00ED25D5" w:rsidP="00F96A66">
      <w:pPr>
        <w:spacing w:line="360" w:lineRule="auto"/>
        <w:jc w:val="both"/>
        <w:rPr>
          <w:rFonts w:ascii="Arial" w:hAnsi="Arial" w:cs="Arial"/>
          <w:sz w:val="22"/>
          <w:szCs w:val="22"/>
        </w:rPr>
      </w:pPr>
      <w:r>
        <w:rPr>
          <w:rFonts w:ascii="Arial" w:hAnsi="Arial" w:cs="Arial"/>
          <w:sz w:val="22"/>
          <w:szCs w:val="22"/>
        </w:rPr>
        <w:t>If transport evidence</w:t>
      </w:r>
      <w:r w:rsidR="00AC0C00">
        <w:rPr>
          <w:rFonts w:ascii="Arial" w:hAnsi="Arial" w:cs="Arial"/>
          <w:sz w:val="22"/>
          <w:szCs w:val="22"/>
        </w:rPr>
        <w:t xml:space="preserve"> </w:t>
      </w:r>
      <w:r>
        <w:rPr>
          <w:rFonts w:ascii="Arial" w:hAnsi="Arial" w:cs="Arial"/>
          <w:sz w:val="22"/>
          <w:szCs w:val="22"/>
        </w:rPr>
        <w:t xml:space="preserve">in southern part of the borough is constraining </w:t>
      </w:r>
      <w:r w:rsidR="00D1294E">
        <w:rPr>
          <w:rFonts w:ascii="Arial" w:hAnsi="Arial" w:cs="Arial"/>
          <w:sz w:val="22"/>
          <w:szCs w:val="22"/>
        </w:rPr>
        <w:t>development,</w:t>
      </w:r>
      <w:r>
        <w:rPr>
          <w:rFonts w:ascii="Arial" w:hAnsi="Arial" w:cs="Arial"/>
          <w:sz w:val="22"/>
          <w:szCs w:val="22"/>
        </w:rPr>
        <w:t xml:space="preserve"> </w:t>
      </w:r>
      <w:r w:rsidR="00FF2553">
        <w:rPr>
          <w:rFonts w:ascii="Arial" w:hAnsi="Arial" w:cs="Arial"/>
          <w:sz w:val="22"/>
          <w:szCs w:val="22"/>
        </w:rPr>
        <w:t xml:space="preserve">then it is imperative that the </w:t>
      </w:r>
      <w:r w:rsidR="00F715D1">
        <w:rPr>
          <w:rFonts w:ascii="Arial" w:hAnsi="Arial" w:cs="Arial"/>
          <w:sz w:val="22"/>
          <w:szCs w:val="22"/>
        </w:rPr>
        <w:t>Council</w:t>
      </w:r>
      <w:r w:rsidR="00FF2553">
        <w:rPr>
          <w:rFonts w:ascii="Arial" w:hAnsi="Arial" w:cs="Arial"/>
          <w:sz w:val="22"/>
          <w:szCs w:val="22"/>
        </w:rPr>
        <w:t xml:space="preserve"> examine all </w:t>
      </w:r>
      <w:r w:rsidR="00F715D1">
        <w:rPr>
          <w:rFonts w:ascii="Arial" w:hAnsi="Arial" w:cs="Arial"/>
          <w:sz w:val="22"/>
          <w:szCs w:val="22"/>
        </w:rPr>
        <w:t>potential</w:t>
      </w:r>
      <w:r w:rsidR="00FF2553">
        <w:rPr>
          <w:rFonts w:ascii="Arial" w:hAnsi="Arial" w:cs="Arial"/>
          <w:sz w:val="22"/>
          <w:szCs w:val="22"/>
        </w:rPr>
        <w:t xml:space="preserve"> </w:t>
      </w:r>
      <w:r w:rsidR="00F715D1">
        <w:rPr>
          <w:rFonts w:ascii="Arial" w:hAnsi="Arial" w:cs="Arial"/>
          <w:sz w:val="22"/>
          <w:szCs w:val="22"/>
        </w:rPr>
        <w:t>opportunities</w:t>
      </w:r>
      <w:r w:rsidR="00FF2553">
        <w:rPr>
          <w:rFonts w:ascii="Arial" w:hAnsi="Arial" w:cs="Arial"/>
          <w:sz w:val="22"/>
          <w:szCs w:val="22"/>
        </w:rPr>
        <w:t xml:space="preserve"> in the northern </w:t>
      </w:r>
      <w:r w:rsidR="00F715D1">
        <w:rPr>
          <w:rFonts w:ascii="Arial" w:hAnsi="Arial" w:cs="Arial"/>
          <w:sz w:val="22"/>
          <w:szCs w:val="22"/>
        </w:rPr>
        <w:t xml:space="preserve">part of the plan area. </w:t>
      </w:r>
      <w:r w:rsidR="00871694">
        <w:rPr>
          <w:rFonts w:ascii="Arial" w:hAnsi="Arial" w:cs="Arial"/>
          <w:sz w:val="22"/>
          <w:szCs w:val="22"/>
        </w:rPr>
        <w:t xml:space="preserve">HBF does not promote sites </w:t>
      </w:r>
      <w:r w:rsidR="00FB2AB0">
        <w:rPr>
          <w:rFonts w:ascii="Arial" w:hAnsi="Arial" w:cs="Arial"/>
          <w:sz w:val="22"/>
          <w:szCs w:val="22"/>
        </w:rPr>
        <w:t xml:space="preserve">but if there is </w:t>
      </w:r>
      <w:r w:rsidR="000C7078">
        <w:rPr>
          <w:rFonts w:ascii="Arial" w:hAnsi="Arial" w:cs="Arial"/>
          <w:sz w:val="22"/>
          <w:szCs w:val="22"/>
        </w:rPr>
        <w:t>potential</w:t>
      </w:r>
      <w:r w:rsidR="00FB2AB0">
        <w:rPr>
          <w:rFonts w:ascii="Arial" w:hAnsi="Arial" w:cs="Arial"/>
          <w:sz w:val="22"/>
          <w:szCs w:val="22"/>
        </w:rPr>
        <w:t xml:space="preserve"> to deliver sus</w:t>
      </w:r>
      <w:r w:rsidR="000C7078">
        <w:rPr>
          <w:rFonts w:ascii="Arial" w:hAnsi="Arial" w:cs="Arial"/>
          <w:sz w:val="22"/>
          <w:szCs w:val="22"/>
        </w:rPr>
        <w:t>tainable</w:t>
      </w:r>
      <w:r w:rsidR="00FB2AB0">
        <w:rPr>
          <w:rFonts w:ascii="Arial" w:hAnsi="Arial" w:cs="Arial"/>
          <w:sz w:val="22"/>
          <w:szCs w:val="22"/>
        </w:rPr>
        <w:t xml:space="preserve"> development in this area that will </w:t>
      </w:r>
      <w:r w:rsidR="00FF16C6">
        <w:rPr>
          <w:rFonts w:ascii="Arial" w:hAnsi="Arial" w:cs="Arial"/>
          <w:sz w:val="22"/>
          <w:szCs w:val="22"/>
        </w:rPr>
        <w:t xml:space="preserve">increase housing supply then </w:t>
      </w:r>
      <w:r w:rsidR="000C7078">
        <w:rPr>
          <w:rFonts w:ascii="Arial" w:hAnsi="Arial" w:cs="Arial"/>
          <w:sz w:val="22"/>
          <w:szCs w:val="22"/>
        </w:rPr>
        <w:t xml:space="preserve">the this should be considered. </w:t>
      </w:r>
    </w:p>
    <w:p w14:paraId="7721E5B4" w14:textId="77777777" w:rsidR="00D1294E" w:rsidRDefault="00D1294E" w:rsidP="00F96A66">
      <w:pPr>
        <w:spacing w:line="360" w:lineRule="auto"/>
        <w:jc w:val="both"/>
        <w:rPr>
          <w:rFonts w:ascii="Arial" w:hAnsi="Arial" w:cs="Arial"/>
          <w:sz w:val="22"/>
          <w:szCs w:val="22"/>
        </w:rPr>
      </w:pPr>
    </w:p>
    <w:p w14:paraId="55F8C06E" w14:textId="3A155062" w:rsidR="0040009D" w:rsidRDefault="00996D78" w:rsidP="00F96A66">
      <w:pPr>
        <w:spacing w:line="360" w:lineRule="auto"/>
        <w:jc w:val="both"/>
        <w:rPr>
          <w:rFonts w:ascii="Arial" w:hAnsi="Arial" w:cs="Arial"/>
          <w:sz w:val="22"/>
          <w:szCs w:val="22"/>
        </w:rPr>
      </w:pPr>
      <w:r>
        <w:rPr>
          <w:rFonts w:ascii="Arial" w:hAnsi="Arial" w:cs="Arial"/>
          <w:sz w:val="22"/>
          <w:szCs w:val="22"/>
        </w:rPr>
        <w:t>Policy</w:t>
      </w:r>
      <w:r w:rsidR="002B38FC">
        <w:rPr>
          <w:rFonts w:ascii="Arial" w:hAnsi="Arial" w:cs="Arial"/>
          <w:sz w:val="22"/>
          <w:szCs w:val="22"/>
        </w:rPr>
        <w:t xml:space="preserve"> H1 is also likely to require modification to set out </w:t>
      </w:r>
      <w:r>
        <w:rPr>
          <w:rFonts w:ascii="Arial" w:hAnsi="Arial" w:cs="Arial"/>
          <w:sz w:val="22"/>
          <w:szCs w:val="22"/>
        </w:rPr>
        <w:t>an immediate review of the plan</w:t>
      </w:r>
      <w:r w:rsidR="00B271F9">
        <w:rPr>
          <w:rFonts w:ascii="Arial" w:hAnsi="Arial" w:cs="Arial"/>
          <w:sz w:val="22"/>
          <w:szCs w:val="22"/>
        </w:rPr>
        <w:t xml:space="preserve"> to take account of proposed changes to the NPPF that are currently being consulted on. While th</w:t>
      </w:r>
      <w:r w:rsidR="00FE2FD4">
        <w:rPr>
          <w:rFonts w:ascii="Arial" w:hAnsi="Arial" w:cs="Arial"/>
          <w:sz w:val="22"/>
          <w:szCs w:val="22"/>
        </w:rPr>
        <w:t xml:space="preserve">ese changes are still out </w:t>
      </w:r>
      <w:r w:rsidR="001C745C">
        <w:rPr>
          <w:rFonts w:ascii="Arial" w:hAnsi="Arial" w:cs="Arial"/>
          <w:sz w:val="22"/>
          <w:szCs w:val="22"/>
        </w:rPr>
        <w:t>for</w:t>
      </w:r>
      <w:r w:rsidR="00FE2FD4">
        <w:rPr>
          <w:rFonts w:ascii="Arial" w:hAnsi="Arial" w:cs="Arial"/>
          <w:sz w:val="22"/>
          <w:szCs w:val="22"/>
        </w:rPr>
        <w:t xml:space="preserve"> consultation should the remain as currently presented </w:t>
      </w:r>
      <w:r w:rsidR="004E2A6A">
        <w:rPr>
          <w:rFonts w:ascii="Arial" w:hAnsi="Arial" w:cs="Arial"/>
          <w:sz w:val="22"/>
          <w:szCs w:val="22"/>
        </w:rPr>
        <w:t xml:space="preserve">consideration will need to be given to </w:t>
      </w:r>
      <w:r w:rsidR="007E7E4C">
        <w:rPr>
          <w:rFonts w:ascii="Arial" w:hAnsi="Arial" w:cs="Arial"/>
          <w:sz w:val="22"/>
          <w:szCs w:val="22"/>
        </w:rPr>
        <w:t xml:space="preserve">paragraph </w:t>
      </w:r>
      <w:r w:rsidR="001C745C">
        <w:rPr>
          <w:rFonts w:ascii="Arial" w:hAnsi="Arial" w:cs="Arial"/>
          <w:sz w:val="22"/>
          <w:szCs w:val="22"/>
        </w:rPr>
        <w:t>227 of the amended NPPF which states:</w:t>
      </w:r>
    </w:p>
    <w:p w14:paraId="0EE71C7F" w14:textId="77777777" w:rsidR="001C745C" w:rsidRDefault="001C745C" w:rsidP="00F96A66">
      <w:pPr>
        <w:spacing w:line="360" w:lineRule="auto"/>
        <w:jc w:val="both"/>
        <w:rPr>
          <w:rFonts w:ascii="Arial" w:hAnsi="Arial" w:cs="Arial"/>
          <w:sz w:val="22"/>
          <w:szCs w:val="22"/>
        </w:rPr>
      </w:pPr>
    </w:p>
    <w:p w14:paraId="3EE92518" w14:textId="52771DEF" w:rsidR="001C745C" w:rsidRPr="00D24632" w:rsidRDefault="00D24632" w:rsidP="00F96A66">
      <w:pPr>
        <w:spacing w:line="360" w:lineRule="auto"/>
        <w:ind w:left="567" w:right="657"/>
        <w:jc w:val="both"/>
        <w:rPr>
          <w:rFonts w:ascii="Arial" w:hAnsi="Arial" w:cs="Arial"/>
          <w:i/>
          <w:iCs/>
          <w:sz w:val="22"/>
          <w:szCs w:val="22"/>
        </w:rPr>
      </w:pPr>
      <w:r w:rsidRPr="00D24632">
        <w:rPr>
          <w:rFonts w:ascii="Arial" w:hAnsi="Arial" w:cs="Arial"/>
          <w:i/>
          <w:iCs/>
          <w:sz w:val="22"/>
          <w:szCs w:val="22"/>
        </w:rPr>
        <w:t>“Where paragraph 226 c) applies, local plans that reach adoption with an annual housing requirement84 that is more than 200 dwellings lower than the relevant published Local Housing Need figure86 will be expected to commence plan-making in the new plan-making system at the earliest opportunity to address the shortfall in housing need.”</w:t>
      </w:r>
    </w:p>
    <w:p w14:paraId="62C7C11E" w14:textId="77777777" w:rsidR="001C745C" w:rsidRDefault="001C745C" w:rsidP="00F96A66">
      <w:pPr>
        <w:spacing w:line="360" w:lineRule="auto"/>
        <w:jc w:val="both"/>
        <w:rPr>
          <w:rFonts w:ascii="Arial" w:hAnsi="Arial" w:cs="Arial"/>
          <w:sz w:val="22"/>
          <w:szCs w:val="22"/>
        </w:rPr>
      </w:pPr>
    </w:p>
    <w:p w14:paraId="4EFA47C4" w14:textId="6BA87A83" w:rsidR="001E6E29" w:rsidRDefault="00D35F91" w:rsidP="00F96A66">
      <w:pPr>
        <w:spacing w:line="360" w:lineRule="auto"/>
        <w:jc w:val="both"/>
        <w:rPr>
          <w:rFonts w:ascii="Arial" w:hAnsi="Arial" w:cs="Arial"/>
          <w:sz w:val="22"/>
          <w:szCs w:val="22"/>
        </w:rPr>
      </w:pPr>
      <w:r>
        <w:rPr>
          <w:rFonts w:ascii="Arial" w:hAnsi="Arial" w:cs="Arial"/>
          <w:sz w:val="22"/>
          <w:szCs w:val="22"/>
        </w:rPr>
        <w:t xml:space="preserve">The proposed standard method would see </w:t>
      </w:r>
      <w:r w:rsidR="007251DB">
        <w:rPr>
          <w:rFonts w:ascii="Arial" w:hAnsi="Arial" w:cs="Arial"/>
          <w:sz w:val="22"/>
          <w:szCs w:val="22"/>
        </w:rPr>
        <w:t>Chichester’s housing needs, across the whole of the Borough, increase from 760</w:t>
      </w:r>
      <w:r w:rsidR="00007153">
        <w:rPr>
          <w:rFonts w:ascii="Arial" w:hAnsi="Arial" w:cs="Arial"/>
          <w:sz w:val="22"/>
          <w:szCs w:val="22"/>
        </w:rPr>
        <w:t xml:space="preserve"> dpa</w:t>
      </w:r>
      <w:r w:rsidR="007251DB">
        <w:rPr>
          <w:rFonts w:ascii="Arial" w:hAnsi="Arial" w:cs="Arial"/>
          <w:sz w:val="22"/>
          <w:szCs w:val="22"/>
        </w:rPr>
        <w:t xml:space="preserve"> to </w:t>
      </w:r>
      <w:r w:rsidR="00007153">
        <w:rPr>
          <w:rFonts w:ascii="Arial" w:hAnsi="Arial" w:cs="Arial"/>
          <w:sz w:val="22"/>
          <w:szCs w:val="22"/>
        </w:rPr>
        <w:t>1,206 dpa</w:t>
      </w:r>
      <w:r w:rsidR="000A45B0">
        <w:rPr>
          <w:rFonts w:ascii="Arial" w:hAnsi="Arial" w:cs="Arial"/>
          <w:sz w:val="22"/>
          <w:szCs w:val="22"/>
        </w:rPr>
        <w:t xml:space="preserve"> and will require the council to prepare a new plan immediately. However, </w:t>
      </w:r>
      <w:r w:rsidR="00A2301B">
        <w:rPr>
          <w:rFonts w:ascii="Arial" w:hAnsi="Arial" w:cs="Arial"/>
          <w:sz w:val="22"/>
          <w:szCs w:val="22"/>
        </w:rPr>
        <w:t xml:space="preserve">it is the HBF’s experience that without </w:t>
      </w:r>
      <w:r w:rsidR="008555ED">
        <w:rPr>
          <w:rFonts w:ascii="Arial" w:hAnsi="Arial" w:cs="Arial"/>
          <w:sz w:val="22"/>
          <w:szCs w:val="22"/>
        </w:rPr>
        <w:t xml:space="preserve">an incentive to review a recently adopted plan these are rarely undertaken at </w:t>
      </w:r>
      <w:r w:rsidR="00BA62D7">
        <w:rPr>
          <w:rFonts w:ascii="Arial" w:hAnsi="Arial" w:cs="Arial"/>
          <w:sz w:val="22"/>
          <w:szCs w:val="22"/>
        </w:rPr>
        <w:t xml:space="preserve">rapidly. </w:t>
      </w:r>
      <w:r w:rsidR="000154EC">
        <w:rPr>
          <w:rFonts w:ascii="Arial" w:hAnsi="Arial" w:cs="Arial"/>
          <w:sz w:val="22"/>
          <w:szCs w:val="22"/>
        </w:rPr>
        <w:t>Therefore,</w:t>
      </w:r>
      <w:r w:rsidR="00BA62D7">
        <w:rPr>
          <w:rFonts w:ascii="Arial" w:hAnsi="Arial" w:cs="Arial"/>
          <w:sz w:val="22"/>
          <w:szCs w:val="22"/>
        </w:rPr>
        <w:t xml:space="preserve"> a strong review policy is required that set out clear dates as to when a new plan will be </w:t>
      </w:r>
      <w:r w:rsidR="008E107F">
        <w:rPr>
          <w:rFonts w:ascii="Arial" w:hAnsi="Arial" w:cs="Arial"/>
          <w:sz w:val="22"/>
          <w:szCs w:val="22"/>
        </w:rPr>
        <w:t>submitted,</w:t>
      </w:r>
      <w:r w:rsidR="00BA62D7">
        <w:rPr>
          <w:rFonts w:ascii="Arial" w:hAnsi="Arial" w:cs="Arial"/>
          <w:sz w:val="22"/>
          <w:szCs w:val="22"/>
        </w:rPr>
        <w:t xml:space="preserve"> and the consequences should that plan not come forward in the agreed timescale. </w:t>
      </w:r>
      <w:r w:rsidR="000154EC">
        <w:rPr>
          <w:rFonts w:ascii="Arial" w:hAnsi="Arial" w:cs="Arial"/>
          <w:sz w:val="22"/>
          <w:szCs w:val="22"/>
        </w:rPr>
        <w:t xml:space="preserve">HBF would recommend a policy is included in H1 or separately along the lines of that adopted </w:t>
      </w:r>
      <w:r w:rsidR="00AD078C">
        <w:rPr>
          <w:rFonts w:ascii="Arial" w:hAnsi="Arial" w:cs="Arial"/>
          <w:sz w:val="22"/>
          <w:szCs w:val="22"/>
        </w:rPr>
        <w:t>in the Bedford Local plan 2030 (reproduced in appendix A)</w:t>
      </w:r>
      <w:r w:rsidR="008E107F">
        <w:rPr>
          <w:rFonts w:ascii="Arial" w:hAnsi="Arial" w:cs="Arial"/>
          <w:sz w:val="22"/>
          <w:szCs w:val="22"/>
        </w:rPr>
        <w:t xml:space="preserve">. This policy was included in the </w:t>
      </w:r>
      <w:r w:rsidR="00E86B81">
        <w:rPr>
          <w:rFonts w:ascii="Arial" w:hAnsi="Arial" w:cs="Arial"/>
          <w:sz w:val="22"/>
          <w:szCs w:val="22"/>
        </w:rPr>
        <w:t>Bedford</w:t>
      </w:r>
      <w:r w:rsidR="008E107F">
        <w:rPr>
          <w:rFonts w:ascii="Arial" w:hAnsi="Arial" w:cs="Arial"/>
          <w:sz w:val="22"/>
          <w:szCs w:val="22"/>
        </w:rPr>
        <w:t xml:space="preserve"> Local Plan </w:t>
      </w:r>
      <w:r w:rsidR="00E86B81">
        <w:rPr>
          <w:rFonts w:ascii="Arial" w:hAnsi="Arial" w:cs="Arial"/>
          <w:sz w:val="22"/>
          <w:szCs w:val="22"/>
        </w:rPr>
        <w:t xml:space="preserve">in similar circumstances when the </w:t>
      </w:r>
      <w:r w:rsidR="006916A6">
        <w:rPr>
          <w:rFonts w:ascii="Arial" w:hAnsi="Arial" w:cs="Arial"/>
          <w:sz w:val="22"/>
          <w:szCs w:val="22"/>
        </w:rPr>
        <w:t>2019 NPPF was adopted introducing the Standard Method</w:t>
      </w:r>
      <w:r w:rsidR="001B2A10">
        <w:rPr>
          <w:rFonts w:ascii="Arial" w:hAnsi="Arial" w:cs="Arial"/>
          <w:sz w:val="22"/>
          <w:szCs w:val="22"/>
        </w:rPr>
        <w:t>.</w:t>
      </w:r>
    </w:p>
    <w:p w14:paraId="1984EC25" w14:textId="77777777" w:rsidR="0040009D" w:rsidRDefault="0040009D" w:rsidP="00F96A66">
      <w:pPr>
        <w:spacing w:line="360" w:lineRule="auto"/>
        <w:jc w:val="both"/>
        <w:rPr>
          <w:rFonts w:ascii="Arial" w:hAnsi="Arial" w:cs="Arial"/>
          <w:sz w:val="22"/>
          <w:szCs w:val="22"/>
        </w:rPr>
      </w:pPr>
    </w:p>
    <w:p w14:paraId="2C201D9A" w14:textId="017EBA0E" w:rsidR="005F3E40" w:rsidRPr="00AC0C00" w:rsidRDefault="005F3E40" w:rsidP="00F96A66">
      <w:pPr>
        <w:spacing w:line="360" w:lineRule="auto"/>
        <w:jc w:val="both"/>
        <w:rPr>
          <w:rFonts w:ascii="Arial" w:hAnsi="Arial" w:cs="Arial"/>
          <w:i/>
          <w:iCs/>
          <w:sz w:val="22"/>
          <w:szCs w:val="22"/>
          <w:u w:val="single"/>
        </w:rPr>
      </w:pPr>
      <w:r w:rsidRPr="00AC0C00">
        <w:rPr>
          <w:rFonts w:ascii="Arial" w:hAnsi="Arial" w:cs="Arial"/>
          <w:i/>
          <w:iCs/>
          <w:sz w:val="22"/>
          <w:szCs w:val="22"/>
          <w:u w:val="single"/>
        </w:rPr>
        <w:t>Q.65 Would the adverse impacts of the Plan not providing for objectively assessed housing needs significantly and demonstrably outweigh the benefits of doing so when assessed against the policies in the NPPF taken as a whole? That is to say is the overall housing requirement justified?</w:t>
      </w:r>
    </w:p>
    <w:p w14:paraId="7370AA7E" w14:textId="77777777" w:rsidR="00E7324E" w:rsidRDefault="00E7324E" w:rsidP="00F96A66">
      <w:pPr>
        <w:spacing w:line="360" w:lineRule="auto"/>
        <w:jc w:val="both"/>
        <w:rPr>
          <w:rFonts w:ascii="Arial" w:hAnsi="Arial" w:cs="Arial"/>
          <w:sz w:val="22"/>
          <w:szCs w:val="22"/>
        </w:rPr>
      </w:pPr>
    </w:p>
    <w:p w14:paraId="73A73E1C" w14:textId="75D0FF2C" w:rsidR="00965C9B" w:rsidRDefault="0001390A" w:rsidP="00F96A66">
      <w:pPr>
        <w:spacing w:line="360" w:lineRule="auto"/>
        <w:jc w:val="both"/>
        <w:rPr>
          <w:rFonts w:ascii="Arial" w:hAnsi="Arial" w:cs="Arial"/>
          <w:sz w:val="22"/>
          <w:szCs w:val="22"/>
        </w:rPr>
      </w:pPr>
      <w:r>
        <w:rPr>
          <w:rFonts w:ascii="Arial" w:hAnsi="Arial" w:cs="Arial"/>
          <w:sz w:val="22"/>
          <w:szCs w:val="22"/>
        </w:rPr>
        <w:t>The sole reason given by the Council for not meeting housing need is the impact of new development on traffic and</w:t>
      </w:r>
      <w:r w:rsidR="0046271F">
        <w:rPr>
          <w:rFonts w:ascii="Arial" w:hAnsi="Arial" w:cs="Arial"/>
          <w:sz w:val="22"/>
          <w:szCs w:val="22"/>
        </w:rPr>
        <w:t xml:space="preserve"> the</w:t>
      </w:r>
      <w:r>
        <w:rPr>
          <w:rFonts w:ascii="Arial" w:hAnsi="Arial" w:cs="Arial"/>
          <w:sz w:val="22"/>
          <w:szCs w:val="22"/>
        </w:rPr>
        <w:t xml:space="preserve"> increased congestion</w:t>
      </w:r>
      <w:r w:rsidR="0046271F">
        <w:rPr>
          <w:rFonts w:ascii="Arial" w:hAnsi="Arial" w:cs="Arial"/>
          <w:sz w:val="22"/>
          <w:szCs w:val="22"/>
        </w:rPr>
        <w:t xml:space="preserve"> it would cause</w:t>
      </w:r>
      <w:r>
        <w:rPr>
          <w:rFonts w:ascii="Arial" w:hAnsi="Arial" w:cs="Arial"/>
          <w:sz w:val="22"/>
          <w:szCs w:val="22"/>
        </w:rPr>
        <w:t xml:space="preserve">.  </w:t>
      </w:r>
      <w:r w:rsidR="00EB5F41">
        <w:rPr>
          <w:rFonts w:ascii="Arial" w:hAnsi="Arial" w:cs="Arial"/>
          <w:sz w:val="22"/>
          <w:szCs w:val="22"/>
        </w:rPr>
        <w:t xml:space="preserve">As set out above </w:t>
      </w:r>
      <w:r w:rsidR="00F37C9D">
        <w:rPr>
          <w:rFonts w:ascii="Arial" w:hAnsi="Arial" w:cs="Arial"/>
          <w:sz w:val="22"/>
          <w:szCs w:val="22"/>
        </w:rPr>
        <w:t xml:space="preserve">HBF consider further testing is </w:t>
      </w:r>
      <w:r w:rsidR="00440885">
        <w:rPr>
          <w:rFonts w:ascii="Arial" w:hAnsi="Arial" w:cs="Arial"/>
          <w:sz w:val="22"/>
          <w:szCs w:val="22"/>
        </w:rPr>
        <w:t>required</w:t>
      </w:r>
      <w:r w:rsidR="00F37C9D">
        <w:rPr>
          <w:rFonts w:ascii="Arial" w:hAnsi="Arial" w:cs="Arial"/>
          <w:sz w:val="22"/>
          <w:szCs w:val="22"/>
        </w:rPr>
        <w:t xml:space="preserve"> with regard to </w:t>
      </w:r>
      <w:r w:rsidR="00440885">
        <w:rPr>
          <w:rFonts w:ascii="Arial" w:hAnsi="Arial" w:cs="Arial"/>
          <w:sz w:val="22"/>
          <w:szCs w:val="22"/>
        </w:rPr>
        <w:t>trip rates</w:t>
      </w:r>
      <w:r w:rsidR="00C14851">
        <w:rPr>
          <w:rFonts w:ascii="Arial" w:hAnsi="Arial" w:cs="Arial"/>
          <w:sz w:val="22"/>
          <w:szCs w:val="22"/>
        </w:rPr>
        <w:t xml:space="preserve"> which are considered to be too high.</w:t>
      </w:r>
      <w:r w:rsidR="00440885">
        <w:rPr>
          <w:rFonts w:ascii="Arial" w:hAnsi="Arial" w:cs="Arial"/>
          <w:sz w:val="22"/>
          <w:szCs w:val="22"/>
        </w:rPr>
        <w:t xml:space="preserve"> Small adjustments to these rates can have a significant impact on </w:t>
      </w:r>
      <w:r w:rsidR="000A1D4D">
        <w:rPr>
          <w:rFonts w:ascii="Arial" w:hAnsi="Arial" w:cs="Arial"/>
          <w:sz w:val="22"/>
          <w:szCs w:val="22"/>
        </w:rPr>
        <w:t xml:space="preserve">the outcomes of </w:t>
      </w:r>
      <w:r w:rsidR="000F1ECA">
        <w:rPr>
          <w:rFonts w:ascii="Arial" w:hAnsi="Arial" w:cs="Arial"/>
          <w:sz w:val="22"/>
          <w:szCs w:val="22"/>
        </w:rPr>
        <w:t>transport</w:t>
      </w:r>
      <w:r w:rsidR="000A1D4D">
        <w:rPr>
          <w:rFonts w:ascii="Arial" w:hAnsi="Arial" w:cs="Arial"/>
          <w:sz w:val="22"/>
          <w:szCs w:val="22"/>
        </w:rPr>
        <w:t xml:space="preserve"> assessment </w:t>
      </w:r>
      <w:r w:rsidR="00C14851">
        <w:rPr>
          <w:rFonts w:ascii="Arial" w:hAnsi="Arial" w:cs="Arial"/>
          <w:sz w:val="22"/>
          <w:szCs w:val="22"/>
        </w:rPr>
        <w:t xml:space="preserve">reducing the impact of </w:t>
      </w:r>
      <w:r w:rsidR="00402642">
        <w:rPr>
          <w:rFonts w:ascii="Arial" w:hAnsi="Arial" w:cs="Arial"/>
          <w:sz w:val="22"/>
          <w:szCs w:val="22"/>
        </w:rPr>
        <w:t>housing growth on the highway network in Chichester.</w:t>
      </w:r>
      <w:r w:rsidR="00D06B5A">
        <w:rPr>
          <w:rFonts w:ascii="Arial" w:hAnsi="Arial" w:cs="Arial"/>
          <w:sz w:val="22"/>
          <w:szCs w:val="22"/>
        </w:rPr>
        <w:t xml:space="preserve"> </w:t>
      </w:r>
    </w:p>
    <w:p w14:paraId="2BED2B42" w14:textId="77777777" w:rsidR="00172EA6" w:rsidRDefault="00172EA6" w:rsidP="00F96A66">
      <w:pPr>
        <w:spacing w:line="360" w:lineRule="auto"/>
        <w:jc w:val="both"/>
        <w:rPr>
          <w:rFonts w:ascii="Arial" w:hAnsi="Arial" w:cs="Arial"/>
          <w:sz w:val="22"/>
          <w:szCs w:val="22"/>
        </w:rPr>
      </w:pPr>
    </w:p>
    <w:p w14:paraId="7D10D3FE" w14:textId="36EF86C5" w:rsidR="00172EA6" w:rsidRDefault="00172EA6" w:rsidP="00F96A66">
      <w:pPr>
        <w:spacing w:line="360" w:lineRule="auto"/>
        <w:jc w:val="both"/>
        <w:rPr>
          <w:rFonts w:ascii="Arial" w:hAnsi="Arial" w:cs="Arial"/>
          <w:sz w:val="22"/>
          <w:szCs w:val="22"/>
        </w:rPr>
      </w:pPr>
      <w:r>
        <w:rPr>
          <w:rFonts w:ascii="Arial" w:hAnsi="Arial" w:cs="Arial"/>
          <w:sz w:val="22"/>
          <w:szCs w:val="22"/>
        </w:rPr>
        <w:t xml:space="preserve">This is particular </w:t>
      </w:r>
      <w:r w:rsidR="00AE1153">
        <w:rPr>
          <w:rFonts w:ascii="Arial" w:hAnsi="Arial" w:cs="Arial"/>
          <w:sz w:val="22"/>
          <w:szCs w:val="22"/>
        </w:rPr>
        <w:t>important</w:t>
      </w:r>
      <w:r>
        <w:rPr>
          <w:rFonts w:ascii="Arial" w:hAnsi="Arial" w:cs="Arial"/>
          <w:sz w:val="22"/>
          <w:szCs w:val="22"/>
        </w:rPr>
        <w:t xml:space="preserve"> in areas such as Chichester, and </w:t>
      </w:r>
      <w:r w:rsidR="00AE1153">
        <w:rPr>
          <w:rFonts w:ascii="Arial" w:hAnsi="Arial" w:cs="Arial"/>
          <w:sz w:val="22"/>
          <w:szCs w:val="22"/>
        </w:rPr>
        <w:t>indeed</w:t>
      </w:r>
      <w:r>
        <w:rPr>
          <w:rFonts w:ascii="Arial" w:hAnsi="Arial" w:cs="Arial"/>
          <w:sz w:val="22"/>
          <w:szCs w:val="22"/>
        </w:rPr>
        <w:t xml:space="preserve"> the south east in gen</w:t>
      </w:r>
      <w:r w:rsidR="00AE1153">
        <w:rPr>
          <w:rFonts w:ascii="Arial" w:hAnsi="Arial" w:cs="Arial"/>
          <w:sz w:val="22"/>
          <w:szCs w:val="22"/>
        </w:rPr>
        <w:t>eral, given the shortfalls in housing and increasing unaffordability of accommodation for many households. There is a growing demand for new homes across this sub region with many of those areas with highest needs being too constrained to meet these in full, as we set out in our response to Q</w:t>
      </w:r>
      <w:r w:rsidR="00E227E7">
        <w:rPr>
          <w:rFonts w:ascii="Arial" w:hAnsi="Arial" w:cs="Arial"/>
          <w:sz w:val="22"/>
          <w:szCs w:val="22"/>
        </w:rPr>
        <w:t>6</w:t>
      </w:r>
      <w:r w:rsidR="00AE1153">
        <w:rPr>
          <w:rFonts w:ascii="Arial" w:hAnsi="Arial" w:cs="Arial"/>
          <w:sz w:val="22"/>
          <w:szCs w:val="22"/>
        </w:rPr>
        <w:t>1. This inevitably places significant pressure on the housing market increasing the cost of housing and reducing the overall affordability of an area to may who live and work in the area. The Council not meeting its own needs, or seeking to contribute to addressing the needs of other areas, adds to that pressure. In Chichester the average housing price rose from £271,000 in 2013 to 430,000 in 2023 with the affordability ratio increasing from 11.13 to 13.51. A failure to meet it housing needs will only add to this</w:t>
      </w:r>
    </w:p>
    <w:p w14:paraId="6D818E75" w14:textId="77777777" w:rsidR="00262148" w:rsidRDefault="00262148" w:rsidP="00F96A66">
      <w:pPr>
        <w:spacing w:line="360" w:lineRule="auto"/>
        <w:jc w:val="both"/>
        <w:rPr>
          <w:rFonts w:ascii="Arial" w:hAnsi="Arial" w:cs="Arial"/>
          <w:sz w:val="22"/>
          <w:szCs w:val="22"/>
        </w:rPr>
      </w:pPr>
    </w:p>
    <w:p w14:paraId="21978819" w14:textId="5AB9A450" w:rsidR="00440A6F" w:rsidRDefault="00AE1153" w:rsidP="00F96A66">
      <w:pPr>
        <w:spacing w:line="360" w:lineRule="auto"/>
        <w:jc w:val="both"/>
        <w:rPr>
          <w:rFonts w:ascii="Arial" w:hAnsi="Arial" w:cs="Arial"/>
          <w:sz w:val="22"/>
          <w:szCs w:val="22"/>
        </w:rPr>
      </w:pPr>
      <w:r>
        <w:rPr>
          <w:rFonts w:ascii="Arial" w:hAnsi="Arial" w:cs="Arial"/>
          <w:sz w:val="22"/>
          <w:szCs w:val="22"/>
        </w:rPr>
        <w:t>The p</w:t>
      </w:r>
      <w:r w:rsidR="00440A6F">
        <w:rPr>
          <w:rFonts w:ascii="Arial" w:hAnsi="Arial" w:cs="Arial"/>
          <w:sz w:val="22"/>
          <w:szCs w:val="22"/>
        </w:rPr>
        <w:t xml:space="preserve">oor </w:t>
      </w:r>
      <w:r w:rsidR="00492D84">
        <w:rPr>
          <w:rFonts w:ascii="Arial" w:hAnsi="Arial" w:cs="Arial"/>
          <w:sz w:val="22"/>
          <w:szCs w:val="22"/>
        </w:rPr>
        <w:t>affordability</w:t>
      </w:r>
      <w:r w:rsidR="00440A6F">
        <w:rPr>
          <w:rFonts w:ascii="Arial" w:hAnsi="Arial" w:cs="Arial"/>
          <w:sz w:val="22"/>
          <w:szCs w:val="22"/>
        </w:rPr>
        <w:t xml:space="preserve"> in </w:t>
      </w:r>
      <w:r>
        <w:rPr>
          <w:rFonts w:ascii="Arial" w:hAnsi="Arial" w:cs="Arial"/>
          <w:sz w:val="22"/>
          <w:szCs w:val="22"/>
        </w:rPr>
        <w:t xml:space="preserve">Chichester and </w:t>
      </w:r>
      <w:r w:rsidR="002129A4">
        <w:rPr>
          <w:rFonts w:ascii="Arial" w:hAnsi="Arial" w:cs="Arial"/>
          <w:sz w:val="22"/>
          <w:szCs w:val="22"/>
        </w:rPr>
        <w:t>its neighbouring areas</w:t>
      </w:r>
      <w:r w:rsidR="00440A6F">
        <w:rPr>
          <w:rFonts w:ascii="Arial" w:hAnsi="Arial" w:cs="Arial"/>
          <w:sz w:val="22"/>
          <w:szCs w:val="22"/>
        </w:rPr>
        <w:t xml:space="preserve"> also </w:t>
      </w:r>
      <w:r w:rsidR="00DA4727">
        <w:rPr>
          <w:rFonts w:ascii="Arial" w:hAnsi="Arial" w:cs="Arial"/>
          <w:sz w:val="22"/>
          <w:szCs w:val="22"/>
        </w:rPr>
        <w:t>means</w:t>
      </w:r>
      <w:r w:rsidR="00440A6F">
        <w:rPr>
          <w:rFonts w:ascii="Arial" w:hAnsi="Arial" w:cs="Arial"/>
          <w:sz w:val="22"/>
          <w:szCs w:val="22"/>
        </w:rPr>
        <w:t xml:space="preserve"> that there </w:t>
      </w:r>
      <w:r w:rsidR="00492D84">
        <w:rPr>
          <w:rFonts w:ascii="Arial" w:hAnsi="Arial" w:cs="Arial"/>
          <w:sz w:val="22"/>
          <w:szCs w:val="22"/>
        </w:rPr>
        <w:t xml:space="preserve">is significant need for more affordable housing. </w:t>
      </w:r>
      <w:r w:rsidR="00E1133B">
        <w:rPr>
          <w:rFonts w:ascii="Arial" w:hAnsi="Arial" w:cs="Arial"/>
          <w:sz w:val="22"/>
          <w:szCs w:val="22"/>
        </w:rPr>
        <w:t>Table 6.3</w:t>
      </w:r>
      <w:r w:rsidR="00492D84">
        <w:rPr>
          <w:rFonts w:ascii="Arial" w:hAnsi="Arial" w:cs="Arial"/>
          <w:sz w:val="22"/>
          <w:szCs w:val="22"/>
        </w:rPr>
        <w:t xml:space="preserve"> of the </w:t>
      </w:r>
      <w:r w:rsidR="00E1133B">
        <w:rPr>
          <w:rFonts w:ascii="Arial" w:hAnsi="Arial" w:cs="Arial"/>
          <w:sz w:val="22"/>
          <w:szCs w:val="22"/>
        </w:rPr>
        <w:t>HEDNA</w:t>
      </w:r>
      <w:r w:rsidR="00492D84">
        <w:rPr>
          <w:rFonts w:ascii="Arial" w:hAnsi="Arial" w:cs="Arial"/>
          <w:sz w:val="22"/>
          <w:szCs w:val="22"/>
        </w:rPr>
        <w:t xml:space="preserve"> notes that </w:t>
      </w:r>
      <w:r w:rsidR="00DA4727">
        <w:rPr>
          <w:rFonts w:ascii="Arial" w:hAnsi="Arial" w:cs="Arial"/>
          <w:sz w:val="22"/>
          <w:szCs w:val="22"/>
        </w:rPr>
        <w:t xml:space="preserve">the need for social and affordable rent in the borough is </w:t>
      </w:r>
      <w:r w:rsidR="00E1133B">
        <w:rPr>
          <w:rFonts w:ascii="Arial" w:hAnsi="Arial" w:cs="Arial"/>
          <w:sz w:val="22"/>
          <w:szCs w:val="22"/>
        </w:rPr>
        <w:t>278</w:t>
      </w:r>
      <w:r w:rsidR="00DA4727">
        <w:rPr>
          <w:rFonts w:ascii="Arial" w:hAnsi="Arial" w:cs="Arial"/>
          <w:sz w:val="22"/>
          <w:szCs w:val="22"/>
        </w:rPr>
        <w:t xml:space="preserve"> dpa</w:t>
      </w:r>
      <w:r w:rsidR="00837E13">
        <w:rPr>
          <w:rFonts w:ascii="Arial" w:hAnsi="Arial" w:cs="Arial"/>
          <w:sz w:val="22"/>
          <w:szCs w:val="22"/>
        </w:rPr>
        <w:t xml:space="preserve"> and in paragraph 6.152</w:t>
      </w:r>
      <w:r w:rsidR="004F6160">
        <w:rPr>
          <w:rFonts w:ascii="Arial" w:hAnsi="Arial" w:cs="Arial"/>
          <w:sz w:val="22"/>
          <w:szCs w:val="22"/>
        </w:rPr>
        <w:t xml:space="preserve"> </w:t>
      </w:r>
      <w:r w:rsidR="005F4C2A">
        <w:rPr>
          <w:rFonts w:ascii="Arial" w:hAnsi="Arial" w:cs="Arial"/>
          <w:sz w:val="22"/>
          <w:szCs w:val="22"/>
        </w:rPr>
        <w:t xml:space="preserve">it noted that the need for </w:t>
      </w:r>
      <w:r w:rsidR="00C850E1">
        <w:rPr>
          <w:rFonts w:ascii="Arial" w:hAnsi="Arial" w:cs="Arial"/>
          <w:sz w:val="22"/>
          <w:szCs w:val="22"/>
        </w:rPr>
        <w:t>affordable</w:t>
      </w:r>
      <w:r w:rsidR="005F4C2A">
        <w:rPr>
          <w:rFonts w:ascii="Arial" w:hAnsi="Arial" w:cs="Arial"/>
          <w:sz w:val="22"/>
          <w:szCs w:val="22"/>
        </w:rPr>
        <w:t xml:space="preserve"> home </w:t>
      </w:r>
      <w:r w:rsidR="00C850E1">
        <w:rPr>
          <w:rFonts w:ascii="Arial" w:hAnsi="Arial" w:cs="Arial"/>
          <w:sz w:val="22"/>
          <w:szCs w:val="22"/>
        </w:rPr>
        <w:t>ownership</w:t>
      </w:r>
      <w:r w:rsidR="005F4C2A">
        <w:rPr>
          <w:rFonts w:ascii="Arial" w:hAnsi="Arial" w:cs="Arial"/>
          <w:sz w:val="22"/>
          <w:szCs w:val="22"/>
        </w:rPr>
        <w:t xml:space="preserve"> </w:t>
      </w:r>
      <w:r w:rsidR="00F93E16">
        <w:rPr>
          <w:rFonts w:ascii="Arial" w:hAnsi="Arial" w:cs="Arial"/>
          <w:sz w:val="22"/>
          <w:szCs w:val="22"/>
        </w:rPr>
        <w:t>products</w:t>
      </w:r>
      <w:r w:rsidR="005F4C2A">
        <w:rPr>
          <w:rFonts w:ascii="Arial" w:hAnsi="Arial" w:cs="Arial"/>
          <w:sz w:val="22"/>
          <w:szCs w:val="22"/>
        </w:rPr>
        <w:t xml:space="preserve"> </w:t>
      </w:r>
      <w:r w:rsidR="00C850E1">
        <w:rPr>
          <w:rFonts w:ascii="Arial" w:hAnsi="Arial" w:cs="Arial"/>
          <w:sz w:val="22"/>
          <w:szCs w:val="22"/>
        </w:rPr>
        <w:t xml:space="preserve">of 301 dpa. </w:t>
      </w:r>
      <w:r w:rsidR="009F3C31">
        <w:rPr>
          <w:rFonts w:ascii="Arial" w:hAnsi="Arial" w:cs="Arial"/>
          <w:sz w:val="22"/>
          <w:szCs w:val="22"/>
        </w:rPr>
        <w:t xml:space="preserve">This is a high level of need and one </w:t>
      </w:r>
      <w:r w:rsidR="00C90C21">
        <w:rPr>
          <w:rFonts w:ascii="Arial" w:hAnsi="Arial" w:cs="Arial"/>
          <w:sz w:val="22"/>
          <w:szCs w:val="22"/>
        </w:rPr>
        <w:t>that will be made worse by the decision not to meet housing needs in full.</w:t>
      </w:r>
    </w:p>
    <w:p w14:paraId="48CEF197" w14:textId="77777777" w:rsidR="00CA779D" w:rsidRDefault="00CA779D" w:rsidP="00F96A66">
      <w:pPr>
        <w:spacing w:line="360" w:lineRule="auto"/>
        <w:jc w:val="both"/>
        <w:rPr>
          <w:rFonts w:ascii="Arial" w:hAnsi="Arial" w:cs="Arial"/>
          <w:sz w:val="22"/>
          <w:szCs w:val="22"/>
        </w:rPr>
      </w:pPr>
    </w:p>
    <w:p w14:paraId="7C7DCA1C" w14:textId="6C8EAEF0" w:rsidR="00CA779D" w:rsidRDefault="00CA779D" w:rsidP="00F96A66">
      <w:pPr>
        <w:spacing w:line="360" w:lineRule="auto"/>
        <w:jc w:val="both"/>
        <w:rPr>
          <w:rFonts w:ascii="Arial" w:hAnsi="Arial" w:cs="Arial"/>
          <w:sz w:val="22"/>
          <w:szCs w:val="22"/>
        </w:rPr>
      </w:pPr>
      <w:r>
        <w:rPr>
          <w:rFonts w:ascii="Arial" w:hAnsi="Arial" w:cs="Arial"/>
          <w:sz w:val="22"/>
          <w:szCs w:val="22"/>
        </w:rPr>
        <w:t xml:space="preserve">The Government </w:t>
      </w:r>
      <w:r w:rsidR="00492091">
        <w:rPr>
          <w:rFonts w:ascii="Arial" w:hAnsi="Arial" w:cs="Arial"/>
          <w:sz w:val="22"/>
          <w:szCs w:val="22"/>
        </w:rPr>
        <w:t>have given high priority on ensuring ho</w:t>
      </w:r>
      <w:r w:rsidR="00714045">
        <w:rPr>
          <w:rFonts w:ascii="Arial" w:hAnsi="Arial" w:cs="Arial"/>
          <w:sz w:val="22"/>
          <w:szCs w:val="22"/>
        </w:rPr>
        <w:t>u</w:t>
      </w:r>
      <w:r w:rsidR="00492091">
        <w:rPr>
          <w:rFonts w:ascii="Arial" w:hAnsi="Arial" w:cs="Arial"/>
          <w:sz w:val="22"/>
          <w:szCs w:val="22"/>
        </w:rPr>
        <w:t xml:space="preserve">sing needs are met and </w:t>
      </w:r>
      <w:r w:rsidR="00200CA3">
        <w:rPr>
          <w:rFonts w:ascii="Arial" w:hAnsi="Arial" w:cs="Arial"/>
          <w:sz w:val="22"/>
          <w:szCs w:val="22"/>
        </w:rPr>
        <w:t xml:space="preserve">it is important that a similar priority is given to </w:t>
      </w:r>
      <w:r w:rsidR="00F67C8A">
        <w:rPr>
          <w:rFonts w:ascii="Arial" w:hAnsi="Arial" w:cs="Arial"/>
          <w:sz w:val="22"/>
          <w:szCs w:val="22"/>
        </w:rPr>
        <w:t xml:space="preserve">this issue in this local plan. </w:t>
      </w:r>
      <w:r w:rsidR="0082070A">
        <w:rPr>
          <w:rFonts w:ascii="Arial" w:hAnsi="Arial" w:cs="Arial"/>
          <w:sz w:val="22"/>
          <w:szCs w:val="22"/>
        </w:rPr>
        <w:t xml:space="preserve">While there </w:t>
      </w:r>
      <w:r w:rsidR="00376E66">
        <w:rPr>
          <w:rFonts w:ascii="Arial" w:hAnsi="Arial" w:cs="Arial"/>
          <w:sz w:val="22"/>
          <w:szCs w:val="22"/>
        </w:rPr>
        <w:t xml:space="preserve">will be some negative consequences on highways as a result of new development </w:t>
      </w:r>
      <w:r w:rsidR="00ED7FF4">
        <w:rPr>
          <w:rFonts w:ascii="Arial" w:hAnsi="Arial" w:cs="Arial"/>
          <w:sz w:val="22"/>
          <w:szCs w:val="22"/>
        </w:rPr>
        <w:t>HBF</w:t>
      </w:r>
      <w:r w:rsidR="00E96D74">
        <w:rPr>
          <w:rFonts w:ascii="Arial" w:hAnsi="Arial" w:cs="Arial"/>
          <w:sz w:val="22"/>
          <w:szCs w:val="22"/>
        </w:rPr>
        <w:t xml:space="preserve"> </w:t>
      </w:r>
      <w:r w:rsidR="00376E66">
        <w:rPr>
          <w:rFonts w:ascii="Arial" w:hAnsi="Arial" w:cs="Arial"/>
          <w:sz w:val="22"/>
          <w:szCs w:val="22"/>
        </w:rPr>
        <w:t>consider these have potentially been overstated due to the trip rates used. T</w:t>
      </w:r>
      <w:r w:rsidR="00E96D74">
        <w:rPr>
          <w:rFonts w:ascii="Arial" w:hAnsi="Arial" w:cs="Arial"/>
          <w:sz w:val="22"/>
          <w:szCs w:val="22"/>
        </w:rPr>
        <w:t>herefore</w:t>
      </w:r>
      <w:r w:rsidR="00376E66">
        <w:rPr>
          <w:rFonts w:ascii="Arial" w:hAnsi="Arial" w:cs="Arial"/>
          <w:sz w:val="22"/>
          <w:szCs w:val="22"/>
        </w:rPr>
        <w:t xml:space="preserve">, we </w:t>
      </w:r>
      <w:r w:rsidR="00ED7FF4">
        <w:rPr>
          <w:rFonts w:ascii="Arial" w:hAnsi="Arial" w:cs="Arial"/>
          <w:sz w:val="22"/>
          <w:szCs w:val="22"/>
        </w:rPr>
        <w:t xml:space="preserve">consider it </w:t>
      </w:r>
      <w:r w:rsidR="006D2DF0">
        <w:rPr>
          <w:rFonts w:ascii="Arial" w:hAnsi="Arial" w:cs="Arial"/>
          <w:sz w:val="22"/>
          <w:szCs w:val="22"/>
        </w:rPr>
        <w:t>essential</w:t>
      </w:r>
      <w:r w:rsidR="00ED7FF4">
        <w:rPr>
          <w:rFonts w:ascii="Arial" w:hAnsi="Arial" w:cs="Arial"/>
          <w:sz w:val="22"/>
          <w:szCs w:val="22"/>
        </w:rPr>
        <w:t xml:space="preserve"> that the Council revisit its TA </w:t>
      </w:r>
      <w:r w:rsidR="006D2DF0">
        <w:rPr>
          <w:rFonts w:ascii="Arial" w:hAnsi="Arial" w:cs="Arial"/>
          <w:sz w:val="22"/>
          <w:szCs w:val="22"/>
        </w:rPr>
        <w:t>to include lower trip rates that are more reflective of current and future travel patterns</w:t>
      </w:r>
      <w:r w:rsidR="00E96D74">
        <w:rPr>
          <w:rFonts w:ascii="Arial" w:hAnsi="Arial" w:cs="Arial"/>
          <w:sz w:val="22"/>
          <w:szCs w:val="22"/>
        </w:rPr>
        <w:t>.</w:t>
      </w:r>
    </w:p>
    <w:p w14:paraId="57028328" w14:textId="77777777" w:rsidR="000048AB" w:rsidRDefault="000048AB" w:rsidP="00F96A66">
      <w:pPr>
        <w:spacing w:line="360" w:lineRule="auto"/>
        <w:jc w:val="both"/>
        <w:rPr>
          <w:rFonts w:ascii="Arial" w:hAnsi="Arial" w:cs="Arial"/>
          <w:sz w:val="22"/>
          <w:szCs w:val="22"/>
        </w:rPr>
      </w:pPr>
    </w:p>
    <w:p w14:paraId="49BDF1ED" w14:textId="4449A759" w:rsidR="005F3E40" w:rsidRPr="007A160F" w:rsidRDefault="005F3E40" w:rsidP="00F96A66">
      <w:pPr>
        <w:spacing w:line="360" w:lineRule="auto"/>
        <w:jc w:val="both"/>
        <w:rPr>
          <w:rFonts w:ascii="Arial" w:hAnsi="Arial" w:cs="Arial"/>
          <w:i/>
          <w:iCs/>
          <w:sz w:val="22"/>
          <w:szCs w:val="22"/>
          <w:u w:val="single"/>
        </w:rPr>
      </w:pPr>
      <w:r w:rsidRPr="007A160F">
        <w:rPr>
          <w:rFonts w:ascii="Arial" w:hAnsi="Arial" w:cs="Arial"/>
          <w:i/>
          <w:iCs/>
          <w:sz w:val="22"/>
          <w:szCs w:val="22"/>
          <w:u w:val="single"/>
        </w:rPr>
        <w:lastRenderedPageBreak/>
        <w:t>Q.66 Paragraph 5.2 of the Plan sets out that the housing requirement would be made up of 535 dpa in the southern area and 40 dpa in the northern area. These figures are not included in Policy H1. Is this effective?</w:t>
      </w:r>
    </w:p>
    <w:p w14:paraId="2730D89C" w14:textId="77777777" w:rsidR="00E7324E" w:rsidRDefault="00E7324E" w:rsidP="00F96A66">
      <w:pPr>
        <w:spacing w:line="360" w:lineRule="auto"/>
        <w:jc w:val="both"/>
        <w:rPr>
          <w:rFonts w:ascii="Arial" w:hAnsi="Arial" w:cs="Arial"/>
          <w:sz w:val="22"/>
          <w:szCs w:val="22"/>
        </w:rPr>
      </w:pPr>
    </w:p>
    <w:p w14:paraId="79017A58" w14:textId="2D7F498F" w:rsidR="00965C9B" w:rsidRDefault="00617983" w:rsidP="00F96A66">
      <w:pPr>
        <w:spacing w:line="360" w:lineRule="auto"/>
        <w:jc w:val="both"/>
        <w:rPr>
          <w:rFonts w:ascii="Arial" w:hAnsi="Arial" w:cs="Arial"/>
          <w:sz w:val="22"/>
          <w:szCs w:val="22"/>
        </w:rPr>
      </w:pPr>
      <w:r>
        <w:rPr>
          <w:rFonts w:ascii="Arial" w:hAnsi="Arial" w:cs="Arial"/>
          <w:sz w:val="22"/>
          <w:szCs w:val="22"/>
        </w:rPr>
        <w:t>HBF did not comment on this</w:t>
      </w:r>
      <w:r w:rsidR="00A83869">
        <w:rPr>
          <w:rFonts w:ascii="Arial" w:hAnsi="Arial" w:cs="Arial"/>
          <w:sz w:val="22"/>
          <w:szCs w:val="22"/>
        </w:rPr>
        <w:t xml:space="preserve"> but would recommend a s</w:t>
      </w:r>
      <w:r>
        <w:rPr>
          <w:rFonts w:ascii="Arial" w:hAnsi="Arial" w:cs="Arial"/>
          <w:sz w:val="22"/>
          <w:szCs w:val="22"/>
        </w:rPr>
        <w:t xml:space="preserve">ingle housing </w:t>
      </w:r>
      <w:r w:rsidR="00F268DE">
        <w:rPr>
          <w:rFonts w:ascii="Arial" w:hAnsi="Arial" w:cs="Arial"/>
          <w:sz w:val="22"/>
          <w:szCs w:val="22"/>
        </w:rPr>
        <w:t>requirement</w:t>
      </w:r>
      <w:r>
        <w:rPr>
          <w:rFonts w:ascii="Arial" w:hAnsi="Arial" w:cs="Arial"/>
          <w:sz w:val="22"/>
          <w:szCs w:val="22"/>
        </w:rPr>
        <w:t xml:space="preserve"> </w:t>
      </w:r>
      <w:r w:rsidR="00F268DE">
        <w:rPr>
          <w:rFonts w:ascii="Arial" w:hAnsi="Arial" w:cs="Arial"/>
          <w:sz w:val="22"/>
          <w:szCs w:val="22"/>
        </w:rPr>
        <w:t xml:space="preserve">for the plan area </w:t>
      </w:r>
      <w:r w:rsidR="00A530E9">
        <w:rPr>
          <w:rFonts w:ascii="Arial" w:hAnsi="Arial" w:cs="Arial"/>
          <w:sz w:val="22"/>
          <w:szCs w:val="22"/>
        </w:rPr>
        <w:t>and it is not</w:t>
      </w:r>
      <w:r w:rsidR="00F268DE">
        <w:rPr>
          <w:rFonts w:ascii="Arial" w:hAnsi="Arial" w:cs="Arial"/>
          <w:sz w:val="22"/>
          <w:szCs w:val="22"/>
        </w:rPr>
        <w:t xml:space="preserve"> split between the two locations. </w:t>
      </w:r>
      <w:r w:rsidR="009844A1">
        <w:rPr>
          <w:rFonts w:ascii="Arial" w:hAnsi="Arial" w:cs="Arial"/>
          <w:sz w:val="22"/>
          <w:szCs w:val="22"/>
        </w:rPr>
        <w:t xml:space="preserve">The housing requirement is for the borough as a whole </w:t>
      </w:r>
      <w:r w:rsidR="0050742E">
        <w:rPr>
          <w:rFonts w:ascii="Arial" w:hAnsi="Arial" w:cs="Arial"/>
          <w:sz w:val="22"/>
          <w:szCs w:val="22"/>
        </w:rPr>
        <w:t>and should be treated as such in policy.</w:t>
      </w:r>
      <w:r w:rsidR="00905236">
        <w:rPr>
          <w:rFonts w:ascii="Arial" w:hAnsi="Arial" w:cs="Arial"/>
          <w:sz w:val="22"/>
          <w:szCs w:val="22"/>
        </w:rPr>
        <w:t xml:space="preserve"> </w:t>
      </w:r>
    </w:p>
    <w:p w14:paraId="51DCFE1C" w14:textId="77777777" w:rsidR="00E7324E" w:rsidRDefault="00E7324E" w:rsidP="00F96A66">
      <w:pPr>
        <w:spacing w:line="360" w:lineRule="auto"/>
        <w:jc w:val="both"/>
        <w:rPr>
          <w:rFonts w:ascii="Arial" w:hAnsi="Arial" w:cs="Arial"/>
          <w:sz w:val="22"/>
          <w:szCs w:val="22"/>
        </w:rPr>
      </w:pPr>
    </w:p>
    <w:p w14:paraId="23C57702" w14:textId="17F29F7B" w:rsidR="003A73D4" w:rsidRPr="007A160F" w:rsidRDefault="005F3E40" w:rsidP="00F96A66">
      <w:pPr>
        <w:spacing w:line="360" w:lineRule="auto"/>
        <w:jc w:val="both"/>
        <w:rPr>
          <w:rFonts w:ascii="Arial" w:hAnsi="Arial" w:cs="Arial"/>
          <w:i/>
          <w:iCs/>
          <w:sz w:val="22"/>
          <w:szCs w:val="22"/>
          <w:u w:val="single"/>
        </w:rPr>
      </w:pPr>
      <w:r w:rsidRPr="007A160F">
        <w:rPr>
          <w:rFonts w:ascii="Arial" w:hAnsi="Arial" w:cs="Arial"/>
          <w:i/>
          <w:iCs/>
          <w:sz w:val="22"/>
          <w:szCs w:val="22"/>
          <w:u w:val="single"/>
        </w:rPr>
        <w:t>Q.67 Are the suggested MMs necessary for soundness?</w:t>
      </w:r>
    </w:p>
    <w:p w14:paraId="2D14C268" w14:textId="77777777" w:rsidR="003A73D4" w:rsidRDefault="003A73D4" w:rsidP="00F96A66">
      <w:pPr>
        <w:spacing w:line="360" w:lineRule="auto"/>
        <w:jc w:val="both"/>
        <w:rPr>
          <w:rFonts w:ascii="Arial" w:hAnsi="Arial" w:cs="Arial"/>
          <w:sz w:val="22"/>
          <w:szCs w:val="22"/>
        </w:rPr>
      </w:pPr>
    </w:p>
    <w:p w14:paraId="6D911EE4" w14:textId="48206660" w:rsidR="00EF27A2" w:rsidRDefault="00414E6B" w:rsidP="00F96A66">
      <w:pPr>
        <w:spacing w:line="360" w:lineRule="auto"/>
        <w:jc w:val="both"/>
        <w:rPr>
          <w:rFonts w:ascii="Arial" w:hAnsi="Arial" w:cs="Arial"/>
          <w:sz w:val="22"/>
          <w:szCs w:val="22"/>
        </w:rPr>
      </w:pPr>
      <w:r>
        <w:rPr>
          <w:rFonts w:ascii="Arial" w:hAnsi="Arial" w:cs="Arial"/>
          <w:sz w:val="22"/>
          <w:szCs w:val="22"/>
        </w:rPr>
        <w:t xml:space="preserve">HBF </w:t>
      </w:r>
      <w:r w:rsidR="0022210E">
        <w:rPr>
          <w:rFonts w:ascii="Arial" w:hAnsi="Arial" w:cs="Arial"/>
          <w:sz w:val="22"/>
          <w:szCs w:val="22"/>
        </w:rPr>
        <w:t>would</w:t>
      </w:r>
      <w:r>
        <w:rPr>
          <w:rFonts w:ascii="Arial" w:hAnsi="Arial" w:cs="Arial"/>
          <w:sz w:val="22"/>
          <w:szCs w:val="22"/>
        </w:rPr>
        <w:t xml:space="preserve"> </w:t>
      </w:r>
      <w:r w:rsidR="0022210E">
        <w:rPr>
          <w:rFonts w:ascii="Arial" w:hAnsi="Arial" w:cs="Arial"/>
          <w:sz w:val="22"/>
          <w:szCs w:val="22"/>
        </w:rPr>
        <w:t>suggest</w:t>
      </w:r>
      <w:r>
        <w:rPr>
          <w:rFonts w:ascii="Arial" w:hAnsi="Arial" w:cs="Arial"/>
          <w:sz w:val="22"/>
          <w:szCs w:val="22"/>
        </w:rPr>
        <w:t xml:space="preserve"> that a modification is required to include </w:t>
      </w:r>
      <w:r w:rsidR="00B11533">
        <w:rPr>
          <w:rFonts w:ascii="Arial" w:hAnsi="Arial" w:cs="Arial"/>
          <w:sz w:val="22"/>
          <w:szCs w:val="22"/>
        </w:rPr>
        <w:t xml:space="preserve">in the policy a commitment to an early review. This </w:t>
      </w:r>
    </w:p>
    <w:p w14:paraId="05BAC7E7" w14:textId="77777777" w:rsidR="00EF27A2" w:rsidRDefault="00EF27A2" w:rsidP="00F96A66">
      <w:pPr>
        <w:spacing w:line="360" w:lineRule="auto"/>
        <w:jc w:val="both"/>
        <w:rPr>
          <w:rFonts w:ascii="Arial" w:hAnsi="Arial" w:cs="Arial"/>
          <w:sz w:val="22"/>
          <w:szCs w:val="22"/>
        </w:rPr>
      </w:pPr>
    </w:p>
    <w:p w14:paraId="627A1DA2" w14:textId="77777777" w:rsidR="001C0A86" w:rsidRPr="00BF5818" w:rsidRDefault="001C0A86" w:rsidP="00F96A66">
      <w:pPr>
        <w:spacing w:line="360" w:lineRule="auto"/>
        <w:jc w:val="both"/>
        <w:rPr>
          <w:rFonts w:ascii="Arial" w:hAnsi="Arial" w:cs="Arial"/>
          <w:b/>
          <w:bCs/>
          <w:sz w:val="22"/>
          <w:szCs w:val="22"/>
        </w:rPr>
      </w:pPr>
      <w:r w:rsidRPr="00BF5818">
        <w:rPr>
          <w:rFonts w:ascii="Arial" w:hAnsi="Arial" w:cs="Arial"/>
          <w:b/>
          <w:bCs/>
          <w:sz w:val="22"/>
          <w:szCs w:val="22"/>
        </w:rPr>
        <w:t>Housing land supply</w:t>
      </w:r>
    </w:p>
    <w:p w14:paraId="2C0C66B9" w14:textId="77777777" w:rsidR="001C0A86" w:rsidRPr="00BF5818" w:rsidRDefault="001C0A86" w:rsidP="00F96A66">
      <w:pPr>
        <w:spacing w:line="360" w:lineRule="auto"/>
        <w:jc w:val="both"/>
        <w:rPr>
          <w:rFonts w:ascii="Arial" w:hAnsi="Arial" w:cs="Arial"/>
          <w:b/>
          <w:bCs/>
          <w:sz w:val="22"/>
          <w:szCs w:val="22"/>
        </w:rPr>
      </w:pPr>
    </w:p>
    <w:p w14:paraId="01CFC472" w14:textId="3508C222" w:rsidR="001C0A86" w:rsidRPr="00BF5818" w:rsidRDefault="001C0A86" w:rsidP="00F96A66">
      <w:pPr>
        <w:spacing w:line="360" w:lineRule="auto"/>
        <w:jc w:val="both"/>
        <w:rPr>
          <w:rFonts w:ascii="Arial" w:hAnsi="Arial" w:cs="Arial"/>
          <w:b/>
          <w:bCs/>
          <w:sz w:val="22"/>
          <w:szCs w:val="22"/>
        </w:rPr>
      </w:pPr>
      <w:r w:rsidRPr="00BF5818">
        <w:rPr>
          <w:rFonts w:ascii="Arial" w:hAnsi="Arial" w:cs="Arial"/>
          <w:b/>
          <w:bCs/>
          <w:sz w:val="22"/>
          <w:szCs w:val="22"/>
        </w:rPr>
        <w:t>Policy H1 Meeting Housing Needs sets out the broad sources of supply to meet the housing requirement. Housing land supply will be provided by the Plan, the existing site allocation DPD, a new DPD and Neighbourhood Plans. The Plan therefore is not singly providing for all the supply in the plan period, though it is setting the overall housing requirement.</w:t>
      </w:r>
    </w:p>
    <w:p w14:paraId="52F07A54" w14:textId="77777777" w:rsidR="001C0A86" w:rsidRDefault="001C0A86" w:rsidP="00F96A66">
      <w:pPr>
        <w:spacing w:line="360" w:lineRule="auto"/>
        <w:jc w:val="both"/>
        <w:rPr>
          <w:rFonts w:ascii="Arial" w:hAnsi="Arial" w:cs="Arial"/>
          <w:sz w:val="22"/>
          <w:szCs w:val="22"/>
        </w:rPr>
      </w:pPr>
    </w:p>
    <w:p w14:paraId="1AAFEECE" w14:textId="72CD8EE9" w:rsidR="001C0A86" w:rsidRPr="00984EA0" w:rsidRDefault="001C0A86" w:rsidP="00F96A66">
      <w:pPr>
        <w:spacing w:line="360" w:lineRule="auto"/>
        <w:jc w:val="both"/>
        <w:rPr>
          <w:rFonts w:ascii="Arial" w:hAnsi="Arial" w:cs="Arial"/>
          <w:i/>
          <w:iCs/>
          <w:sz w:val="22"/>
          <w:szCs w:val="22"/>
          <w:u w:val="single"/>
        </w:rPr>
      </w:pPr>
      <w:r w:rsidRPr="00984EA0">
        <w:rPr>
          <w:rFonts w:ascii="Arial" w:hAnsi="Arial" w:cs="Arial"/>
          <w:i/>
          <w:iCs/>
          <w:sz w:val="22"/>
          <w:szCs w:val="22"/>
          <w:u w:val="single"/>
        </w:rPr>
        <w:t>Q.68 Are the components of the overall housing land supply set out in Policy H1 (as updated in BP07 Housing supply background paper) justified?</w:t>
      </w:r>
    </w:p>
    <w:p w14:paraId="6A6920D0" w14:textId="77777777" w:rsidR="001C0A86" w:rsidRPr="00984EA0" w:rsidRDefault="001C0A86" w:rsidP="00F96A66">
      <w:pPr>
        <w:spacing w:line="360" w:lineRule="auto"/>
        <w:jc w:val="both"/>
        <w:rPr>
          <w:rFonts w:ascii="Arial" w:hAnsi="Arial" w:cs="Arial"/>
          <w:i/>
          <w:iCs/>
          <w:sz w:val="22"/>
          <w:szCs w:val="22"/>
          <w:u w:val="single"/>
        </w:rPr>
      </w:pPr>
      <w:r w:rsidRPr="00984EA0">
        <w:rPr>
          <w:rFonts w:ascii="Arial" w:hAnsi="Arial" w:cs="Arial"/>
          <w:i/>
          <w:iCs/>
          <w:sz w:val="22"/>
          <w:szCs w:val="22"/>
          <w:u w:val="single"/>
        </w:rPr>
        <w:t>Specially:</w:t>
      </w:r>
    </w:p>
    <w:p w14:paraId="5E1CC372" w14:textId="6E91C1C1" w:rsidR="001C0A86" w:rsidRPr="00984EA0" w:rsidRDefault="001C0A86" w:rsidP="00F96A66">
      <w:pPr>
        <w:pStyle w:val="ListParagraph"/>
        <w:numPr>
          <w:ilvl w:val="0"/>
          <w:numId w:val="6"/>
        </w:numPr>
        <w:spacing w:line="360" w:lineRule="auto"/>
        <w:jc w:val="both"/>
        <w:rPr>
          <w:rFonts w:ascii="Arial" w:hAnsi="Arial" w:cs="Arial"/>
          <w:i/>
          <w:iCs/>
          <w:u w:val="single"/>
        </w:rPr>
      </w:pPr>
      <w:r w:rsidRPr="00984EA0">
        <w:rPr>
          <w:rFonts w:ascii="Arial" w:hAnsi="Arial" w:cs="Arial"/>
          <w:i/>
          <w:iCs/>
          <w:u w:val="single"/>
        </w:rPr>
        <w:t>Is footnote 29 as set out in the submitted Plan regarding Site Allocation DPD allocations correct given that policies of that plan are not to be superseded by this Plan?</w:t>
      </w:r>
    </w:p>
    <w:p w14:paraId="1082DE3C" w14:textId="77777777" w:rsidR="001C0A86" w:rsidRPr="00984EA0" w:rsidRDefault="001C0A86" w:rsidP="00F96A66">
      <w:pPr>
        <w:pStyle w:val="ListParagraph"/>
        <w:numPr>
          <w:ilvl w:val="0"/>
          <w:numId w:val="6"/>
        </w:numPr>
        <w:spacing w:line="360" w:lineRule="auto"/>
        <w:jc w:val="both"/>
        <w:rPr>
          <w:rFonts w:ascii="Arial" w:hAnsi="Arial" w:cs="Arial"/>
          <w:i/>
          <w:iCs/>
          <w:u w:val="single"/>
        </w:rPr>
      </w:pPr>
      <w:r w:rsidRPr="00984EA0">
        <w:rPr>
          <w:rFonts w:ascii="Arial" w:hAnsi="Arial" w:cs="Arial"/>
          <w:i/>
          <w:iCs/>
          <w:u w:val="single"/>
        </w:rPr>
        <w:t>What is the compelling evidence that windfall sites will make the anticipated contribution to housing land supply over the plan period?</w:t>
      </w:r>
    </w:p>
    <w:p w14:paraId="4D628F1F" w14:textId="77777777" w:rsidR="009F4E0E" w:rsidRDefault="009F4E0E" w:rsidP="00F96A66">
      <w:pPr>
        <w:spacing w:line="360" w:lineRule="auto"/>
        <w:jc w:val="both"/>
        <w:rPr>
          <w:rFonts w:ascii="Arial" w:hAnsi="Arial" w:cs="Arial"/>
          <w:sz w:val="22"/>
          <w:szCs w:val="22"/>
        </w:rPr>
      </w:pPr>
    </w:p>
    <w:p w14:paraId="2B72E2D3" w14:textId="781E1FFB" w:rsidR="005508A0" w:rsidRDefault="000B00D8" w:rsidP="00F96A66">
      <w:pPr>
        <w:spacing w:line="360" w:lineRule="auto"/>
        <w:jc w:val="both"/>
        <w:rPr>
          <w:rFonts w:ascii="Arial" w:hAnsi="Arial" w:cs="Arial"/>
          <w:sz w:val="22"/>
          <w:szCs w:val="22"/>
        </w:rPr>
      </w:pPr>
      <w:r>
        <w:rPr>
          <w:rFonts w:ascii="Arial" w:hAnsi="Arial" w:cs="Arial"/>
          <w:sz w:val="22"/>
          <w:szCs w:val="22"/>
        </w:rPr>
        <w:t>No comment.</w:t>
      </w:r>
    </w:p>
    <w:p w14:paraId="070C91F7" w14:textId="77777777" w:rsidR="00E96D74" w:rsidRDefault="00E96D74" w:rsidP="00F96A66">
      <w:pPr>
        <w:spacing w:line="360" w:lineRule="auto"/>
        <w:jc w:val="both"/>
        <w:rPr>
          <w:rFonts w:ascii="Arial" w:hAnsi="Arial" w:cs="Arial"/>
          <w:sz w:val="22"/>
          <w:szCs w:val="22"/>
        </w:rPr>
      </w:pPr>
    </w:p>
    <w:p w14:paraId="079453E8" w14:textId="7FCE612C" w:rsidR="001C0A86" w:rsidRPr="00B1453C" w:rsidRDefault="001C0A86" w:rsidP="00F96A66">
      <w:pPr>
        <w:spacing w:line="360" w:lineRule="auto"/>
        <w:jc w:val="both"/>
        <w:rPr>
          <w:rFonts w:ascii="Arial" w:hAnsi="Arial" w:cs="Arial"/>
          <w:i/>
          <w:iCs/>
          <w:sz w:val="22"/>
          <w:szCs w:val="22"/>
          <w:u w:val="single"/>
        </w:rPr>
      </w:pPr>
      <w:r w:rsidRPr="00B1453C">
        <w:rPr>
          <w:rFonts w:ascii="Arial" w:hAnsi="Arial" w:cs="Arial"/>
          <w:i/>
          <w:iCs/>
          <w:sz w:val="22"/>
          <w:szCs w:val="22"/>
          <w:u w:val="single"/>
        </w:rPr>
        <w:t>Q.69 Will there be a five-year supply of deliverable housing sites on adoption of the Plan?</w:t>
      </w:r>
    </w:p>
    <w:p w14:paraId="36221B89" w14:textId="77777777" w:rsidR="00BF5818" w:rsidRDefault="00BF5818" w:rsidP="00F96A66">
      <w:pPr>
        <w:spacing w:line="360" w:lineRule="auto"/>
        <w:jc w:val="both"/>
        <w:rPr>
          <w:rFonts w:ascii="Arial" w:hAnsi="Arial" w:cs="Arial"/>
          <w:sz w:val="22"/>
          <w:szCs w:val="22"/>
        </w:rPr>
      </w:pPr>
    </w:p>
    <w:p w14:paraId="27E6D4D4" w14:textId="0C06CFA4" w:rsidR="002B0431" w:rsidRDefault="00D36B65" w:rsidP="00F96A66">
      <w:pPr>
        <w:spacing w:line="360" w:lineRule="auto"/>
        <w:jc w:val="both"/>
        <w:rPr>
          <w:rFonts w:ascii="Arial" w:hAnsi="Arial" w:cs="Arial"/>
          <w:sz w:val="22"/>
          <w:szCs w:val="22"/>
        </w:rPr>
      </w:pPr>
      <w:r>
        <w:rPr>
          <w:rFonts w:ascii="Arial" w:hAnsi="Arial" w:cs="Arial"/>
          <w:sz w:val="22"/>
          <w:szCs w:val="22"/>
        </w:rPr>
        <w:lastRenderedPageBreak/>
        <w:t xml:space="preserve">HBF did not comment on the five year land supply </w:t>
      </w:r>
      <w:r w:rsidR="00E02048">
        <w:rPr>
          <w:rFonts w:ascii="Arial" w:hAnsi="Arial" w:cs="Arial"/>
          <w:sz w:val="22"/>
          <w:szCs w:val="22"/>
        </w:rPr>
        <w:t xml:space="preserve">is at that time it appeared as if the Council had a five year land supply. </w:t>
      </w:r>
      <w:r w:rsidR="00D13A37">
        <w:rPr>
          <w:rFonts w:ascii="Arial" w:hAnsi="Arial" w:cs="Arial"/>
          <w:sz w:val="22"/>
          <w:szCs w:val="22"/>
        </w:rPr>
        <w:t>Having reviewed the update</w:t>
      </w:r>
      <w:r>
        <w:rPr>
          <w:rFonts w:ascii="Arial" w:hAnsi="Arial" w:cs="Arial"/>
          <w:sz w:val="22"/>
          <w:szCs w:val="22"/>
        </w:rPr>
        <w:t xml:space="preserve">d </w:t>
      </w:r>
      <w:r w:rsidR="00D13A37">
        <w:rPr>
          <w:rFonts w:ascii="Arial" w:hAnsi="Arial" w:cs="Arial"/>
          <w:sz w:val="22"/>
          <w:szCs w:val="22"/>
        </w:rPr>
        <w:t xml:space="preserve">BP07 </w:t>
      </w:r>
      <w:r w:rsidR="00A6630E">
        <w:rPr>
          <w:rFonts w:ascii="Arial" w:hAnsi="Arial" w:cs="Arial"/>
          <w:sz w:val="22"/>
          <w:szCs w:val="22"/>
        </w:rPr>
        <w:t xml:space="preserve">HBF are concerned that the Council may not have a five year housing land supply on adoption. </w:t>
      </w:r>
      <w:r w:rsidR="00531852">
        <w:rPr>
          <w:rFonts w:ascii="Arial" w:hAnsi="Arial" w:cs="Arial"/>
          <w:sz w:val="22"/>
          <w:szCs w:val="22"/>
        </w:rPr>
        <w:t xml:space="preserve">In </w:t>
      </w:r>
      <w:r w:rsidR="00094F2C">
        <w:rPr>
          <w:rFonts w:ascii="Arial" w:hAnsi="Arial" w:cs="Arial"/>
          <w:sz w:val="22"/>
          <w:szCs w:val="22"/>
        </w:rPr>
        <w:t xml:space="preserve">calculating its five year housing land supply the Council have included the surplus </w:t>
      </w:r>
      <w:r w:rsidR="00C57157">
        <w:rPr>
          <w:rFonts w:ascii="Arial" w:hAnsi="Arial" w:cs="Arial"/>
          <w:sz w:val="22"/>
          <w:szCs w:val="22"/>
        </w:rPr>
        <w:t xml:space="preserve">from the </w:t>
      </w:r>
      <w:r w:rsidR="00326DFA">
        <w:rPr>
          <w:rFonts w:ascii="Arial" w:hAnsi="Arial" w:cs="Arial"/>
          <w:sz w:val="22"/>
          <w:szCs w:val="22"/>
        </w:rPr>
        <w:t>preceding</w:t>
      </w:r>
      <w:r w:rsidR="00C57157">
        <w:rPr>
          <w:rFonts w:ascii="Arial" w:hAnsi="Arial" w:cs="Arial"/>
          <w:sz w:val="22"/>
          <w:szCs w:val="22"/>
        </w:rPr>
        <w:t xml:space="preserve"> years wholly within the following five years. </w:t>
      </w:r>
      <w:r w:rsidR="00C05A4D">
        <w:rPr>
          <w:rFonts w:ascii="Arial" w:hAnsi="Arial" w:cs="Arial"/>
          <w:sz w:val="22"/>
          <w:szCs w:val="22"/>
        </w:rPr>
        <w:t xml:space="preserve">This approach is then </w:t>
      </w:r>
      <w:r w:rsidR="002A1136">
        <w:rPr>
          <w:rFonts w:ascii="Arial" w:hAnsi="Arial" w:cs="Arial"/>
          <w:sz w:val="22"/>
          <w:szCs w:val="22"/>
        </w:rPr>
        <w:t xml:space="preserve">included in the plan through the proposed modification to paragraph 5.5. </w:t>
      </w:r>
      <w:r w:rsidR="00DA2C83">
        <w:rPr>
          <w:rFonts w:ascii="Arial" w:hAnsi="Arial" w:cs="Arial"/>
          <w:sz w:val="22"/>
          <w:szCs w:val="22"/>
        </w:rPr>
        <w:t xml:space="preserve">As the inspector’s </w:t>
      </w:r>
      <w:r w:rsidR="009A2BAA">
        <w:rPr>
          <w:rFonts w:ascii="Arial" w:hAnsi="Arial" w:cs="Arial"/>
          <w:sz w:val="22"/>
          <w:szCs w:val="22"/>
        </w:rPr>
        <w:t>wi</w:t>
      </w:r>
      <w:r w:rsidR="00DA2C83">
        <w:rPr>
          <w:rFonts w:ascii="Arial" w:hAnsi="Arial" w:cs="Arial"/>
          <w:sz w:val="22"/>
          <w:szCs w:val="22"/>
        </w:rPr>
        <w:t>ll be aware PPG is silent on ho</w:t>
      </w:r>
      <w:r w:rsidR="00EC5E23">
        <w:rPr>
          <w:rFonts w:ascii="Arial" w:hAnsi="Arial" w:cs="Arial"/>
          <w:sz w:val="22"/>
          <w:szCs w:val="22"/>
        </w:rPr>
        <w:t xml:space="preserve">w over supply with </w:t>
      </w:r>
      <w:r w:rsidR="009A2BAA">
        <w:rPr>
          <w:rFonts w:ascii="Arial" w:hAnsi="Arial" w:cs="Arial"/>
          <w:sz w:val="22"/>
          <w:szCs w:val="22"/>
        </w:rPr>
        <w:t>inspector’s</w:t>
      </w:r>
      <w:r w:rsidR="00EC5E23">
        <w:rPr>
          <w:rFonts w:ascii="Arial" w:hAnsi="Arial" w:cs="Arial"/>
          <w:sz w:val="22"/>
          <w:szCs w:val="22"/>
        </w:rPr>
        <w:t xml:space="preserve"> taking </w:t>
      </w:r>
      <w:r w:rsidR="009A2BAA">
        <w:rPr>
          <w:rFonts w:ascii="Arial" w:hAnsi="Arial" w:cs="Arial"/>
          <w:sz w:val="22"/>
          <w:szCs w:val="22"/>
        </w:rPr>
        <w:t>different</w:t>
      </w:r>
      <w:r w:rsidR="00EC5E23">
        <w:rPr>
          <w:rFonts w:ascii="Arial" w:hAnsi="Arial" w:cs="Arial"/>
          <w:sz w:val="22"/>
          <w:szCs w:val="22"/>
        </w:rPr>
        <w:t xml:space="preserve"> views on whether it should be included in </w:t>
      </w:r>
      <w:r w:rsidR="009A2BAA">
        <w:rPr>
          <w:rFonts w:ascii="Arial" w:hAnsi="Arial" w:cs="Arial"/>
          <w:sz w:val="22"/>
          <w:szCs w:val="22"/>
        </w:rPr>
        <w:t xml:space="preserve">the calculation of the </w:t>
      </w:r>
      <w:r w:rsidR="002A1136">
        <w:rPr>
          <w:rFonts w:ascii="Arial" w:hAnsi="Arial" w:cs="Arial"/>
          <w:sz w:val="22"/>
          <w:szCs w:val="22"/>
        </w:rPr>
        <w:t>five-year</w:t>
      </w:r>
      <w:r w:rsidR="009A2BAA">
        <w:rPr>
          <w:rFonts w:ascii="Arial" w:hAnsi="Arial" w:cs="Arial"/>
          <w:sz w:val="22"/>
          <w:szCs w:val="22"/>
        </w:rPr>
        <w:t xml:space="preserve"> land supply, most notable in </w:t>
      </w:r>
      <w:r w:rsidR="00994AAA">
        <w:rPr>
          <w:rFonts w:ascii="Arial" w:hAnsi="Arial" w:cs="Arial"/>
          <w:sz w:val="22"/>
          <w:szCs w:val="22"/>
        </w:rPr>
        <w:t>Tew</w:t>
      </w:r>
      <w:r w:rsidR="00D47CBD">
        <w:rPr>
          <w:rFonts w:ascii="Arial" w:hAnsi="Arial" w:cs="Arial"/>
          <w:sz w:val="22"/>
          <w:szCs w:val="22"/>
        </w:rPr>
        <w:t>kesbury</w:t>
      </w:r>
      <w:r w:rsidR="005A72D5">
        <w:rPr>
          <w:rFonts w:ascii="Arial" w:hAnsi="Arial" w:cs="Arial"/>
          <w:sz w:val="22"/>
          <w:szCs w:val="22"/>
        </w:rPr>
        <w:t xml:space="preserve"> and the appeal </w:t>
      </w:r>
      <w:r w:rsidR="005A72D5" w:rsidRPr="005A72D5">
        <w:rPr>
          <w:rFonts w:ascii="Arial" w:hAnsi="Arial" w:cs="Arial"/>
          <w:sz w:val="22"/>
          <w:szCs w:val="22"/>
        </w:rPr>
        <w:t xml:space="preserve">Land South of Oakridge, Highnam, Gloucester </w:t>
      </w:r>
      <w:r w:rsidR="005A72D5">
        <w:rPr>
          <w:rFonts w:ascii="Arial" w:hAnsi="Arial" w:cs="Arial"/>
          <w:sz w:val="22"/>
          <w:szCs w:val="22"/>
        </w:rPr>
        <w:t>(</w:t>
      </w:r>
      <w:r w:rsidR="005A72D5" w:rsidRPr="005A72D5">
        <w:rPr>
          <w:rFonts w:ascii="Arial" w:hAnsi="Arial" w:cs="Arial"/>
          <w:sz w:val="22"/>
          <w:szCs w:val="22"/>
        </w:rPr>
        <w:t>Reference: APP/G1630/W/17/3184272</w:t>
      </w:r>
      <w:r w:rsidR="005A72D5">
        <w:rPr>
          <w:rFonts w:ascii="Arial" w:hAnsi="Arial" w:cs="Arial"/>
          <w:sz w:val="22"/>
          <w:szCs w:val="22"/>
        </w:rPr>
        <w:t xml:space="preserve">) where the inspector </w:t>
      </w:r>
      <w:r w:rsidR="00394C32">
        <w:rPr>
          <w:rFonts w:ascii="Arial" w:hAnsi="Arial" w:cs="Arial"/>
          <w:sz w:val="22"/>
          <w:szCs w:val="22"/>
        </w:rPr>
        <w:t xml:space="preserve">considered it </w:t>
      </w:r>
      <w:r w:rsidR="00D30A45">
        <w:rPr>
          <w:rFonts w:ascii="Arial" w:hAnsi="Arial" w:cs="Arial"/>
          <w:sz w:val="22"/>
          <w:szCs w:val="22"/>
        </w:rPr>
        <w:t>inappropriate</w:t>
      </w:r>
      <w:r w:rsidR="00394C32">
        <w:rPr>
          <w:rFonts w:ascii="Arial" w:hAnsi="Arial" w:cs="Arial"/>
          <w:sz w:val="22"/>
          <w:szCs w:val="22"/>
        </w:rPr>
        <w:t xml:space="preserve"> to </w:t>
      </w:r>
      <w:r w:rsidR="00D30A45">
        <w:rPr>
          <w:rFonts w:ascii="Arial" w:hAnsi="Arial" w:cs="Arial"/>
          <w:sz w:val="22"/>
          <w:szCs w:val="22"/>
        </w:rPr>
        <w:t xml:space="preserve">bank over supply the </w:t>
      </w:r>
      <w:r w:rsidR="00C75D7C">
        <w:rPr>
          <w:rFonts w:ascii="Arial" w:hAnsi="Arial" w:cs="Arial"/>
          <w:sz w:val="22"/>
          <w:szCs w:val="22"/>
        </w:rPr>
        <w:t>five-year</w:t>
      </w:r>
      <w:r w:rsidR="00D30A45">
        <w:rPr>
          <w:rFonts w:ascii="Arial" w:hAnsi="Arial" w:cs="Arial"/>
          <w:sz w:val="22"/>
          <w:szCs w:val="22"/>
        </w:rPr>
        <w:t xml:space="preserve"> land supply assessment. This </w:t>
      </w:r>
      <w:r w:rsidR="00D07DD6">
        <w:rPr>
          <w:rFonts w:ascii="Arial" w:hAnsi="Arial" w:cs="Arial"/>
          <w:sz w:val="22"/>
          <w:szCs w:val="22"/>
        </w:rPr>
        <w:t xml:space="preserve">appeal </w:t>
      </w:r>
      <w:r w:rsidR="002B0431">
        <w:rPr>
          <w:rFonts w:ascii="Arial" w:hAnsi="Arial" w:cs="Arial"/>
          <w:sz w:val="22"/>
          <w:szCs w:val="22"/>
        </w:rPr>
        <w:t>resulted in a judicial review</w:t>
      </w:r>
      <w:r w:rsidR="00877B78">
        <w:rPr>
          <w:rFonts w:ascii="Arial" w:hAnsi="Arial" w:cs="Arial"/>
          <w:sz w:val="22"/>
          <w:szCs w:val="22"/>
        </w:rPr>
        <w:t xml:space="preserve"> (</w:t>
      </w:r>
      <w:r w:rsidR="00877B78" w:rsidRPr="00877B78">
        <w:rPr>
          <w:rFonts w:ascii="Arial" w:hAnsi="Arial" w:cs="Arial"/>
          <w:sz w:val="22"/>
          <w:szCs w:val="22"/>
        </w:rPr>
        <w:t>[2021] EWHC 2782 (Admin)</w:t>
      </w:r>
      <w:r w:rsidR="00877B78">
        <w:rPr>
          <w:rFonts w:ascii="Arial" w:hAnsi="Arial" w:cs="Arial"/>
          <w:sz w:val="22"/>
          <w:szCs w:val="22"/>
        </w:rPr>
        <w:t>)</w:t>
      </w:r>
      <w:r w:rsidR="002B0431">
        <w:rPr>
          <w:rFonts w:ascii="Arial" w:hAnsi="Arial" w:cs="Arial"/>
          <w:sz w:val="22"/>
          <w:szCs w:val="22"/>
        </w:rPr>
        <w:t xml:space="preserve"> in which J</w:t>
      </w:r>
      <w:r w:rsidR="006E0731">
        <w:rPr>
          <w:rFonts w:ascii="Arial" w:hAnsi="Arial" w:cs="Arial"/>
          <w:sz w:val="22"/>
          <w:szCs w:val="22"/>
        </w:rPr>
        <w:t>ustice Dove</w:t>
      </w:r>
      <w:r w:rsidR="002B0431">
        <w:rPr>
          <w:rFonts w:ascii="Arial" w:hAnsi="Arial" w:cs="Arial"/>
          <w:sz w:val="22"/>
          <w:szCs w:val="22"/>
        </w:rPr>
        <w:t xml:space="preserve"> outlined that the NPPF was silent on this matter and as such it </w:t>
      </w:r>
      <w:r w:rsidR="007E66C8">
        <w:rPr>
          <w:rFonts w:ascii="Arial" w:hAnsi="Arial" w:cs="Arial"/>
          <w:sz w:val="22"/>
          <w:szCs w:val="22"/>
        </w:rPr>
        <w:t xml:space="preserve">was </w:t>
      </w:r>
      <w:r w:rsidR="00C75D7C">
        <w:rPr>
          <w:rFonts w:ascii="Arial" w:hAnsi="Arial" w:cs="Arial"/>
          <w:sz w:val="22"/>
          <w:szCs w:val="22"/>
        </w:rPr>
        <w:t>a matter of planning judgement for the decision maker</w:t>
      </w:r>
      <w:r w:rsidR="002B0431">
        <w:rPr>
          <w:rFonts w:ascii="Arial" w:hAnsi="Arial" w:cs="Arial"/>
          <w:sz w:val="22"/>
          <w:szCs w:val="22"/>
        </w:rPr>
        <w:t>.</w:t>
      </w:r>
      <w:r w:rsidR="00B4206B">
        <w:rPr>
          <w:rFonts w:ascii="Arial" w:hAnsi="Arial" w:cs="Arial"/>
          <w:sz w:val="22"/>
          <w:szCs w:val="22"/>
        </w:rPr>
        <w:t xml:space="preserve"> </w:t>
      </w:r>
    </w:p>
    <w:p w14:paraId="03330D45" w14:textId="77777777" w:rsidR="002B0431" w:rsidRDefault="002B0431" w:rsidP="00F96A66">
      <w:pPr>
        <w:spacing w:line="360" w:lineRule="auto"/>
        <w:jc w:val="both"/>
        <w:rPr>
          <w:rFonts w:ascii="Arial" w:hAnsi="Arial" w:cs="Arial"/>
          <w:sz w:val="22"/>
          <w:szCs w:val="22"/>
        </w:rPr>
      </w:pPr>
    </w:p>
    <w:p w14:paraId="4E97113A" w14:textId="0E902DF7" w:rsidR="00C84F1E" w:rsidRDefault="00ED7744" w:rsidP="00F96A66">
      <w:pPr>
        <w:spacing w:line="360" w:lineRule="auto"/>
        <w:jc w:val="both"/>
        <w:rPr>
          <w:rFonts w:ascii="Arial" w:hAnsi="Arial" w:cs="Arial"/>
          <w:sz w:val="22"/>
          <w:szCs w:val="22"/>
        </w:rPr>
      </w:pPr>
      <w:r>
        <w:rPr>
          <w:rFonts w:ascii="Arial" w:hAnsi="Arial" w:cs="Arial"/>
          <w:sz w:val="22"/>
          <w:szCs w:val="22"/>
        </w:rPr>
        <w:t xml:space="preserve">If it </w:t>
      </w:r>
      <w:r w:rsidR="00326DFA">
        <w:rPr>
          <w:rFonts w:ascii="Arial" w:hAnsi="Arial" w:cs="Arial"/>
          <w:sz w:val="22"/>
          <w:szCs w:val="22"/>
        </w:rPr>
        <w:t xml:space="preserve">is accepted </w:t>
      </w:r>
      <w:r w:rsidR="004A75C8">
        <w:rPr>
          <w:rFonts w:ascii="Arial" w:hAnsi="Arial" w:cs="Arial"/>
          <w:sz w:val="22"/>
          <w:szCs w:val="22"/>
        </w:rPr>
        <w:t xml:space="preserve">by the </w:t>
      </w:r>
      <w:r>
        <w:rPr>
          <w:rFonts w:ascii="Arial" w:hAnsi="Arial" w:cs="Arial"/>
          <w:sz w:val="22"/>
          <w:szCs w:val="22"/>
        </w:rPr>
        <w:t>inspectors</w:t>
      </w:r>
      <w:r w:rsidR="004A75C8">
        <w:rPr>
          <w:rFonts w:ascii="Arial" w:hAnsi="Arial" w:cs="Arial"/>
          <w:sz w:val="22"/>
          <w:szCs w:val="22"/>
        </w:rPr>
        <w:t xml:space="preserve"> </w:t>
      </w:r>
      <w:r w:rsidR="00326DFA">
        <w:rPr>
          <w:rFonts w:ascii="Arial" w:hAnsi="Arial" w:cs="Arial"/>
          <w:sz w:val="22"/>
          <w:szCs w:val="22"/>
        </w:rPr>
        <w:t xml:space="preserve">that </w:t>
      </w:r>
      <w:r w:rsidR="006603C3">
        <w:rPr>
          <w:rFonts w:ascii="Arial" w:hAnsi="Arial" w:cs="Arial"/>
          <w:sz w:val="22"/>
          <w:szCs w:val="22"/>
        </w:rPr>
        <w:t xml:space="preserve">surplus can be </w:t>
      </w:r>
      <w:r w:rsidR="00CD00EC">
        <w:rPr>
          <w:rFonts w:ascii="Arial" w:hAnsi="Arial" w:cs="Arial"/>
          <w:sz w:val="22"/>
          <w:szCs w:val="22"/>
        </w:rPr>
        <w:t xml:space="preserve">taken </w:t>
      </w:r>
      <w:r w:rsidR="006603C3">
        <w:rPr>
          <w:rFonts w:ascii="Arial" w:hAnsi="Arial" w:cs="Arial"/>
          <w:sz w:val="22"/>
          <w:szCs w:val="22"/>
        </w:rPr>
        <w:t>account</w:t>
      </w:r>
      <w:r w:rsidR="00326DFA">
        <w:rPr>
          <w:rFonts w:ascii="Arial" w:hAnsi="Arial" w:cs="Arial"/>
          <w:sz w:val="22"/>
          <w:szCs w:val="22"/>
        </w:rPr>
        <w:t xml:space="preserve"> </w:t>
      </w:r>
      <w:r w:rsidR="00CD00EC">
        <w:rPr>
          <w:rFonts w:ascii="Arial" w:hAnsi="Arial" w:cs="Arial"/>
          <w:sz w:val="22"/>
          <w:szCs w:val="22"/>
        </w:rPr>
        <w:t>when assessing five</w:t>
      </w:r>
      <w:r w:rsidR="002A1136">
        <w:rPr>
          <w:rFonts w:ascii="Arial" w:hAnsi="Arial" w:cs="Arial"/>
          <w:sz w:val="22"/>
          <w:szCs w:val="22"/>
        </w:rPr>
        <w:t>-</w:t>
      </w:r>
      <w:r w:rsidR="00CD00EC">
        <w:rPr>
          <w:rFonts w:ascii="Arial" w:hAnsi="Arial" w:cs="Arial"/>
          <w:sz w:val="22"/>
          <w:szCs w:val="22"/>
        </w:rPr>
        <w:t xml:space="preserve">year housing land </w:t>
      </w:r>
      <w:r w:rsidR="00D84EF4">
        <w:rPr>
          <w:rFonts w:ascii="Arial" w:hAnsi="Arial" w:cs="Arial"/>
          <w:sz w:val="22"/>
          <w:szCs w:val="22"/>
        </w:rPr>
        <w:t>supply,</w:t>
      </w:r>
      <w:r w:rsidR="00CD00EC">
        <w:rPr>
          <w:rFonts w:ascii="Arial" w:hAnsi="Arial" w:cs="Arial"/>
          <w:sz w:val="22"/>
          <w:szCs w:val="22"/>
        </w:rPr>
        <w:t xml:space="preserve"> </w:t>
      </w:r>
      <w:r w:rsidR="00B4206B">
        <w:rPr>
          <w:rFonts w:ascii="Arial" w:hAnsi="Arial" w:cs="Arial"/>
          <w:sz w:val="22"/>
          <w:szCs w:val="22"/>
        </w:rPr>
        <w:t>the HBF</w:t>
      </w:r>
      <w:r w:rsidR="00326DFA">
        <w:rPr>
          <w:rFonts w:ascii="Arial" w:hAnsi="Arial" w:cs="Arial"/>
          <w:sz w:val="22"/>
          <w:szCs w:val="22"/>
        </w:rPr>
        <w:t xml:space="preserve"> wo</w:t>
      </w:r>
      <w:r w:rsidR="007164EF">
        <w:rPr>
          <w:rFonts w:ascii="Arial" w:hAnsi="Arial" w:cs="Arial"/>
          <w:sz w:val="22"/>
          <w:szCs w:val="22"/>
        </w:rPr>
        <w:t xml:space="preserve">uld </w:t>
      </w:r>
      <w:r w:rsidR="00326DFA">
        <w:rPr>
          <w:rFonts w:ascii="Arial" w:hAnsi="Arial" w:cs="Arial"/>
          <w:sz w:val="22"/>
          <w:szCs w:val="22"/>
        </w:rPr>
        <w:t xml:space="preserve">expect this to </w:t>
      </w:r>
      <w:r w:rsidR="0038514E">
        <w:rPr>
          <w:rFonts w:ascii="Arial" w:hAnsi="Arial" w:cs="Arial"/>
          <w:sz w:val="22"/>
          <w:szCs w:val="22"/>
        </w:rPr>
        <w:t xml:space="preserve">spread across the </w:t>
      </w:r>
      <w:r w:rsidR="007164EF">
        <w:rPr>
          <w:rFonts w:ascii="Arial" w:hAnsi="Arial" w:cs="Arial"/>
          <w:sz w:val="22"/>
          <w:szCs w:val="22"/>
        </w:rPr>
        <w:t>remaining</w:t>
      </w:r>
      <w:r w:rsidR="0038514E">
        <w:rPr>
          <w:rFonts w:ascii="Arial" w:hAnsi="Arial" w:cs="Arial"/>
          <w:sz w:val="22"/>
          <w:szCs w:val="22"/>
        </w:rPr>
        <w:t xml:space="preserve"> plan period</w:t>
      </w:r>
      <w:r w:rsidR="007164EF">
        <w:rPr>
          <w:rFonts w:ascii="Arial" w:hAnsi="Arial" w:cs="Arial"/>
          <w:sz w:val="22"/>
          <w:szCs w:val="22"/>
        </w:rPr>
        <w:t xml:space="preserve">. </w:t>
      </w:r>
      <w:r w:rsidR="007C7601">
        <w:rPr>
          <w:rFonts w:ascii="Arial" w:hAnsi="Arial" w:cs="Arial"/>
          <w:sz w:val="22"/>
          <w:szCs w:val="22"/>
        </w:rPr>
        <w:t xml:space="preserve">The council have instead considered surplus in the same </w:t>
      </w:r>
      <w:r w:rsidR="00081C5B">
        <w:rPr>
          <w:rFonts w:ascii="Arial" w:hAnsi="Arial" w:cs="Arial"/>
          <w:sz w:val="22"/>
          <w:szCs w:val="22"/>
        </w:rPr>
        <w:t>manner</w:t>
      </w:r>
      <w:r w:rsidR="007C7601">
        <w:rPr>
          <w:rFonts w:ascii="Arial" w:hAnsi="Arial" w:cs="Arial"/>
          <w:sz w:val="22"/>
          <w:szCs w:val="22"/>
        </w:rPr>
        <w:t xml:space="preserve"> as it is required</w:t>
      </w:r>
      <w:r w:rsidR="00081C5B">
        <w:rPr>
          <w:rFonts w:ascii="Arial" w:hAnsi="Arial" w:cs="Arial"/>
          <w:sz w:val="22"/>
          <w:szCs w:val="22"/>
        </w:rPr>
        <w:t xml:space="preserve"> </w:t>
      </w:r>
      <w:r w:rsidR="007C7601">
        <w:rPr>
          <w:rFonts w:ascii="Arial" w:hAnsi="Arial" w:cs="Arial"/>
          <w:sz w:val="22"/>
          <w:szCs w:val="22"/>
        </w:rPr>
        <w:t xml:space="preserve">to consider any shortfalls. However, the reason for considering </w:t>
      </w:r>
      <w:r w:rsidR="00081C5B">
        <w:rPr>
          <w:rFonts w:ascii="Arial" w:hAnsi="Arial" w:cs="Arial"/>
          <w:sz w:val="22"/>
          <w:szCs w:val="22"/>
        </w:rPr>
        <w:t>shortfalls</w:t>
      </w:r>
      <w:r w:rsidR="007C7601">
        <w:rPr>
          <w:rFonts w:ascii="Arial" w:hAnsi="Arial" w:cs="Arial"/>
          <w:sz w:val="22"/>
          <w:szCs w:val="22"/>
        </w:rPr>
        <w:t xml:space="preserve"> in the first five years </w:t>
      </w:r>
      <w:r w:rsidR="00631BC7">
        <w:rPr>
          <w:rFonts w:ascii="Arial" w:hAnsi="Arial" w:cs="Arial"/>
          <w:sz w:val="22"/>
          <w:szCs w:val="22"/>
        </w:rPr>
        <w:t>is</w:t>
      </w:r>
      <w:r w:rsidR="007C7601">
        <w:rPr>
          <w:rFonts w:ascii="Arial" w:hAnsi="Arial" w:cs="Arial"/>
          <w:sz w:val="22"/>
          <w:szCs w:val="22"/>
        </w:rPr>
        <w:t xml:space="preserve"> to ensure that these are </w:t>
      </w:r>
      <w:r w:rsidR="00081C5B">
        <w:rPr>
          <w:rFonts w:ascii="Arial" w:hAnsi="Arial" w:cs="Arial"/>
          <w:sz w:val="22"/>
          <w:szCs w:val="22"/>
        </w:rPr>
        <w:t>delivered</w:t>
      </w:r>
      <w:r w:rsidR="007C7601">
        <w:rPr>
          <w:rFonts w:ascii="Arial" w:hAnsi="Arial" w:cs="Arial"/>
          <w:sz w:val="22"/>
          <w:szCs w:val="22"/>
        </w:rPr>
        <w:t xml:space="preserve"> sooner </w:t>
      </w:r>
      <w:r w:rsidR="00081C5B">
        <w:rPr>
          <w:rFonts w:ascii="Arial" w:hAnsi="Arial" w:cs="Arial"/>
          <w:sz w:val="22"/>
          <w:szCs w:val="22"/>
        </w:rPr>
        <w:t>and not pushed back to the end of the plan period. It is a mechanism to ensure poor performance is addressed sooner rather than later</w:t>
      </w:r>
      <w:r w:rsidR="0098639F">
        <w:rPr>
          <w:rFonts w:ascii="Arial" w:hAnsi="Arial" w:cs="Arial"/>
          <w:sz w:val="22"/>
          <w:szCs w:val="22"/>
        </w:rPr>
        <w:t xml:space="preserve"> and as such is not applicable to </w:t>
      </w:r>
      <w:r w:rsidR="00691181">
        <w:rPr>
          <w:rFonts w:ascii="Arial" w:hAnsi="Arial" w:cs="Arial"/>
          <w:sz w:val="22"/>
          <w:szCs w:val="22"/>
        </w:rPr>
        <w:t xml:space="preserve">a </w:t>
      </w:r>
      <w:r w:rsidR="0098639F">
        <w:rPr>
          <w:rFonts w:ascii="Arial" w:hAnsi="Arial" w:cs="Arial"/>
          <w:sz w:val="22"/>
          <w:szCs w:val="22"/>
        </w:rPr>
        <w:t xml:space="preserve">surplus which is generated as a result of the council seeking to meet needs across the plan period as a whole. </w:t>
      </w:r>
      <w:r w:rsidR="00397C77">
        <w:rPr>
          <w:rFonts w:ascii="Arial" w:hAnsi="Arial" w:cs="Arial"/>
          <w:sz w:val="22"/>
          <w:szCs w:val="22"/>
        </w:rPr>
        <w:t xml:space="preserve">It is </w:t>
      </w:r>
      <w:r w:rsidR="00063943">
        <w:rPr>
          <w:rFonts w:ascii="Arial" w:hAnsi="Arial" w:cs="Arial"/>
          <w:sz w:val="22"/>
          <w:szCs w:val="22"/>
        </w:rPr>
        <w:t>therefore</w:t>
      </w:r>
      <w:r w:rsidR="00013A99">
        <w:rPr>
          <w:rFonts w:ascii="Arial" w:hAnsi="Arial" w:cs="Arial"/>
          <w:sz w:val="22"/>
          <w:szCs w:val="22"/>
        </w:rPr>
        <w:t xml:space="preserve"> </w:t>
      </w:r>
      <w:r w:rsidR="00397C77">
        <w:rPr>
          <w:rFonts w:ascii="Arial" w:hAnsi="Arial" w:cs="Arial"/>
          <w:sz w:val="22"/>
          <w:szCs w:val="22"/>
        </w:rPr>
        <w:t>not</w:t>
      </w:r>
      <w:r w:rsidR="00E02048">
        <w:rPr>
          <w:rFonts w:ascii="Arial" w:hAnsi="Arial" w:cs="Arial"/>
          <w:sz w:val="22"/>
          <w:szCs w:val="22"/>
        </w:rPr>
        <w:t xml:space="preserve"> </w:t>
      </w:r>
      <w:r w:rsidR="00DE1AA5">
        <w:rPr>
          <w:rFonts w:ascii="Arial" w:hAnsi="Arial" w:cs="Arial"/>
          <w:sz w:val="22"/>
          <w:szCs w:val="22"/>
        </w:rPr>
        <w:t xml:space="preserve">considered </w:t>
      </w:r>
      <w:r w:rsidR="00013A99">
        <w:rPr>
          <w:rFonts w:ascii="Arial" w:hAnsi="Arial" w:cs="Arial"/>
          <w:sz w:val="22"/>
          <w:szCs w:val="22"/>
        </w:rPr>
        <w:t xml:space="preserve">by HBF </w:t>
      </w:r>
      <w:r w:rsidR="00063943">
        <w:rPr>
          <w:rFonts w:ascii="Arial" w:hAnsi="Arial" w:cs="Arial"/>
          <w:sz w:val="22"/>
          <w:szCs w:val="22"/>
        </w:rPr>
        <w:t xml:space="preserve">to be </w:t>
      </w:r>
      <w:r w:rsidR="00013A99">
        <w:rPr>
          <w:rFonts w:ascii="Arial" w:hAnsi="Arial" w:cs="Arial"/>
          <w:sz w:val="22"/>
          <w:szCs w:val="22"/>
        </w:rPr>
        <w:t xml:space="preserve">sound </w:t>
      </w:r>
      <w:r w:rsidR="00397C77">
        <w:rPr>
          <w:rFonts w:ascii="Arial" w:hAnsi="Arial" w:cs="Arial"/>
          <w:sz w:val="22"/>
          <w:szCs w:val="22"/>
        </w:rPr>
        <w:t xml:space="preserve">for </w:t>
      </w:r>
      <w:r w:rsidR="00063943">
        <w:rPr>
          <w:rFonts w:ascii="Arial" w:hAnsi="Arial" w:cs="Arial"/>
          <w:sz w:val="22"/>
          <w:szCs w:val="22"/>
        </w:rPr>
        <w:t xml:space="preserve">any </w:t>
      </w:r>
      <w:r w:rsidR="00397C77">
        <w:rPr>
          <w:rFonts w:ascii="Arial" w:hAnsi="Arial" w:cs="Arial"/>
          <w:sz w:val="22"/>
          <w:szCs w:val="22"/>
        </w:rPr>
        <w:t xml:space="preserve">surplus to be </w:t>
      </w:r>
      <w:r w:rsidR="00B96A0E">
        <w:rPr>
          <w:rFonts w:ascii="Arial" w:hAnsi="Arial" w:cs="Arial"/>
          <w:sz w:val="22"/>
          <w:szCs w:val="22"/>
        </w:rPr>
        <w:t xml:space="preserve">spread across only one five year period of the plan. </w:t>
      </w:r>
      <w:r w:rsidR="00D5772B">
        <w:rPr>
          <w:rFonts w:ascii="Arial" w:hAnsi="Arial" w:cs="Arial"/>
          <w:sz w:val="22"/>
          <w:szCs w:val="22"/>
        </w:rPr>
        <w:t>If the surplus generated between the sta</w:t>
      </w:r>
      <w:r w:rsidR="00811A54">
        <w:rPr>
          <w:rFonts w:ascii="Arial" w:hAnsi="Arial" w:cs="Arial"/>
          <w:sz w:val="22"/>
          <w:szCs w:val="22"/>
        </w:rPr>
        <w:t>r</w:t>
      </w:r>
      <w:r w:rsidR="00D5772B">
        <w:rPr>
          <w:rFonts w:ascii="Arial" w:hAnsi="Arial" w:cs="Arial"/>
          <w:sz w:val="22"/>
          <w:szCs w:val="22"/>
        </w:rPr>
        <w:t xml:space="preserve">t of the plan period and </w:t>
      </w:r>
      <w:r w:rsidR="00811A54">
        <w:rPr>
          <w:rFonts w:ascii="Arial" w:hAnsi="Arial" w:cs="Arial"/>
          <w:sz w:val="22"/>
          <w:szCs w:val="22"/>
        </w:rPr>
        <w:t xml:space="preserve">its adoption in 2025 is </w:t>
      </w:r>
      <w:r w:rsidR="00306698">
        <w:rPr>
          <w:rFonts w:ascii="Arial" w:hAnsi="Arial" w:cs="Arial"/>
          <w:sz w:val="22"/>
          <w:szCs w:val="22"/>
        </w:rPr>
        <w:t>spread</w:t>
      </w:r>
      <w:r w:rsidR="00811A54">
        <w:rPr>
          <w:rFonts w:ascii="Arial" w:hAnsi="Arial" w:cs="Arial"/>
          <w:sz w:val="22"/>
          <w:szCs w:val="22"/>
        </w:rPr>
        <w:t xml:space="preserve"> across the </w:t>
      </w:r>
      <w:r w:rsidR="00691181">
        <w:rPr>
          <w:rFonts w:ascii="Arial" w:hAnsi="Arial" w:cs="Arial"/>
          <w:sz w:val="22"/>
          <w:szCs w:val="22"/>
        </w:rPr>
        <w:t xml:space="preserve">whole of the </w:t>
      </w:r>
      <w:r w:rsidR="00811A54">
        <w:rPr>
          <w:rFonts w:ascii="Arial" w:hAnsi="Arial" w:cs="Arial"/>
          <w:sz w:val="22"/>
          <w:szCs w:val="22"/>
        </w:rPr>
        <w:t>remain</w:t>
      </w:r>
      <w:r w:rsidR="00691181">
        <w:rPr>
          <w:rFonts w:ascii="Arial" w:hAnsi="Arial" w:cs="Arial"/>
          <w:sz w:val="22"/>
          <w:szCs w:val="22"/>
        </w:rPr>
        <w:t>ing</w:t>
      </w:r>
      <w:r w:rsidR="00811A54">
        <w:rPr>
          <w:rFonts w:ascii="Arial" w:hAnsi="Arial" w:cs="Arial"/>
          <w:sz w:val="22"/>
          <w:szCs w:val="22"/>
        </w:rPr>
        <w:t xml:space="preserve"> plan </w:t>
      </w:r>
      <w:r w:rsidR="009D47A1">
        <w:rPr>
          <w:rFonts w:ascii="Arial" w:hAnsi="Arial" w:cs="Arial"/>
          <w:sz w:val="22"/>
          <w:szCs w:val="22"/>
        </w:rPr>
        <w:t>period,</w:t>
      </w:r>
      <w:r w:rsidR="00811A54">
        <w:rPr>
          <w:rFonts w:ascii="Arial" w:hAnsi="Arial" w:cs="Arial"/>
          <w:sz w:val="22"/>
          <w:szCs w:val="22"/>
        </w:rPr>
        <w:t xml:space="preserve"> </w:t>
      </w:r>
      <w:r w:rsidR="00306698">
        <w:rPr>
          <w:rFonts w:ascii="Arial" w:hAnsi="Arial" w:cs="Arial"/>
          <w:sz w:val="22"/>
          <w:szCs w:val="22"/>
        </w:rPr>
        <w:t xml:space="preserve">our conclusion is that the </w:t>
      </w:r>
      <w:r w:rsidR="00AC0CE1">
        <w:rPr>
          <w:rFonts w:ascii="Arial" w:hAnsi="Arial" w:cs="Arial"/>
          <w:sz w:val="22"/>
          <w:szCs w:val="22"/>
        </w:rPr>
        <w:t xml:space="preserve">Council will have a </w:t>
      </w:r>
      <w:r w:rsidR="009D47A1">
        <w:rPr>
          <w:rFonts w:ascii="Arial" w:hAnsi="Arial" w:cs="Arial"/>
          <w:sz w:val="22"/>
          <w:szCs w:val="22"/>
        </w:rPr>
        <w:t xml:space="preserve">land supply of just 4.64 years. </w:t>
      </w:r>
      <w:r w:rsidR="00E550FE">
        <w:rPr>
          <w:rFonts w:ascii="Arial" w:hAnsi="Arial" w:cs="Arial"/>
          <w:sz w:val="22"/>
          <w:szCs w:val="22"/>
        </w:rPr>
        <w:t>Whilst this increases to 5.02 years in 25/26</w:t>
      </w:r>
      <w:r w:rsidR="0080424B">
        <w:rPr>
          <w:rFonts w:ascii="Arial" w:hAnsi="Arial" w:cs="Arial"/>
          <w:sz w:val="22"/>
          <w:szCs w:val="22"/>
        </w:rPr>
        <w:t xml:space="preserve"> it is still </w:t>
      </w:r>
      <w:r w:rsidR="00012FE5">
        <w:rPr>
          <w:rFonts w:ascii="Arial" w:hAnsi="Arial" w:cs="Arial"/>
          <w:sz w:val="22"/>
          <w:szCs w:val="22"/>
        </w:rPr>
        <w:t>marginal,</w:t>
      </w:r>
      <w:r w:rsidR="0080424B">
        <w:rPr>
          <w:rFonts w:ascii="Arial" w:hAnsi="Arial" w:cs="Arial"/>
          <w:sz w:val="22"/>
          <w:szCs w:val="22"/>
        </w:rPr>
        <w:t xml:space="preserve"> and</w:t>
      </w:r>
      <w:r w:rsidR="00E550FE">
        <w:rPr>
          <w:rFonts w:ascii="Arial" w:hAnsi="Arial" w:cs="Arial"/>
          <w:sz w:val="22"/>
          <w:szCs w:val="22"/>
        </w:rPr>
        <w:t xml:space="preserve"> we are concerned that </w:t>
      </w:r>
      <w:r w:rsidR="0080424B">
        <w:rPr>
          <w:rFonts w:ascii="Arial" w:hAnsi="Arial" w:cs="Arial"/>
          <w:sz w:val="22"/>
          <w:szCs w:val="22"/>
        </w:rPr>
        <w:t xml:space="preserve">without additional supply in the </w:t>
      </w:r>
      <w:r w:rsidR="00012FE5">
        <w:rPr>
          <w:rFonts w:ascii="Arial" w:hAnsi="Arial" w:cs="Arial"/>
          <w:sz w:val="22"/>
          <w:szCs w:val="22"/>
        </w:rPr>
        <w:t xml:space="preserve">first five years after adoption the plan will be considered out of date on the basis that it does not have a five year land supply. </w:t>
      </w:r>
      <w:r w:rsidR="00D31D82">
        <w:rPr>
          <w:rFonts w:ascii="Arial" w:hAnsi="Arial" w:cs="Arial"/>
          <w:sz w:val="22"/>
          <w:szCs w:val="22"/>
        </w:rPr>
        <w:t>Our assessment of the Council’s five year land supply</w:t>
      </w:r>
      <w:r w:rsidR="00870419">
        <w:rPr>
          <w:rFonts w:ascii="Arial" w:hAnsi="Arial" w:cs="Arial"/>
          <w:sz w:val="22"/>
          <w:szCs w:val="22"/>
        </w:rPr>
        <w:t xml:space="preserve"> with the surplus each year spread across </w:t>
      </w:r>
      <w:r w:rsidR="00D31D82">
        <w:rPr>
          <w:rFonts w:ascii="Arial" w:hAnsi="Arial" w:cs="Arial"/>
          <w:sz w:val="22"/>
          <w:szCs w:val="22"/>
        </w:rPr>
        <w:t>the</w:t>
      </w:r>
      <w:r w:rsidR="00870419">
        <w:rPr>
          <w:rFonts w:ascii="Arial" w:hAnsi="Arial" w:cs="Arial"/>
          <w:sz w:val="22"/>
          <w:szCs w:val="22"/>
        </w:rPr>
        <w:t xml:space="preserve"> remaining</w:t>
      </w:r>
      <w:r w:rsidR="00D31D82">
        <w:rPr>
          <w:rFonts w:ascii="Arial" w:hAnsi="Arial" w:cs="Arial"/>
          <w:sz w:val="22"/>
          <w:szCs w:val="22"/>
        </w:rPr>
        <w:t xml:space="preserve"> plan period is included in appendix A. </w:t>
      </w:r>
    </w:p>
    <w:p w14:paraId="7867956F" w14:textId="77777777" w:rsidR="00E96D74" w:rsidRDefault="00E96D74" w:rsidP="00F96A66">
      <w:pPr>
        <w:spacing w:line="360" w:lineRule="auto"/>
        <w:jc w:val="both"/>
        <w:rPr>
          <w:rFonts w:ascii="Arial" w:hAnsi="Arial" w:cs="Arial"/>
          <w:sz w:val="22"/>
          <w:szCs w:val="22"/>
        </w:rPr>
      </w:pPr>
    </w:p>
    <w:p w14:paraId="100C5C17" w14:textId="55871E40" w:rsidR="001C0A86" w:rsidRPr="004519F6" w:rsidRDefault="001C0A86" w:rsidP="00F96A66">
      <w:pPr>
        <w:spacing w:line="360" w:lineRule="auto"/>
        <w:jc w:val="both"/>
        <w:rPr>
          <w:rFonts w:ascii="Arial" w:hAnsi="Arial" w:cs="Arial"/>
          <w:i/>
          <w:iCs/>
          <w:sz w:val="22"/>
          <w:szCs w:val="22"/>
          <w:u w:val="single"/>
        </w:rPr>
      </w:pPr>
      <w:r w:rsidRPr="004519F6">
        <w:rPr>
          <w:rFonts w:ascii="Arial" w:hAnsi="Arial" w:cs="Arial"/>
          <w:i/>
          <w:iCs/>
          <w:sz w:val="22"/>
          <w:szCs w:val="22"/>
          <w:u w:val="single"/>
        </w:rPr>
        <w:t>Q.70 Would at least 10% of the housing requirement be accommodated on sites no larger than one hectare to be consistent with NPPF 69?</w:t>
      </w:r>
    </w:p>
    <w:p w14:paraId="4C9B6DB2" w14:textId="77777777" w:rsidR="001C0A86" w:rsidRDefault="001C0A86" w:rsidP="00F96A66">
      <w:pPr>
        <w:spacing w:line="360" w:lineRule="auto"/>
        <w:jc w:val="both"/>
        <w:rPr>
          <w:rFonts w:ascii="Arial" w:hAnsi="Arial" w:cs="Arial"/>
          <w:sz w:val="22"/>
          <w:szCs w:val="22"/>
        </w:rPr>
      </w:pPr>
    </w:p>
    <w:p w14:paraId="2B4C150C" w14:textId="3E81B458" w:rsidR="004519F6" w:rsidRDefault="009468EB" w:rsidP="00F96A66">
      <w:pPr>
        <w:spacing w:line="360" w:lineRule="auto"/>
        <w:jc w:val="both"/>
        <w:rPr>
          <w:rFonts w:ascii="Arial" w:hAnsi="Arial" w:cs="Arial"/>
          <w:sz w:val="22"/>
          <w:szCs w:val="22"/>
        </w:rPr>
      </w:pPr>
      <w:r>
        <w:rPr>
          <w:rFonts w:ascii="Arial" w:hAnsi="Arial" w:cs="Arial"/>
          <w:sz w:val="22"/>
          <w:szCs w:val="22"/>
        </w:rPr>
        <w:lastRenderedPageBreak/>
        <w:t xml:space="preserve">Table 15 of the Housing Supply Background paper shows that </w:t>
      </w:r>
      <w:r w:rsidR="008C51A0">
        <w:rPr>
          <w:rFonts w:ascii="Arial" w:hAnsi="Arial" w:cs="Arial"/>
          <w:sz w:val="22"/>
          <w:szCs w:val="22"/>
        </w:rPr>
        <w:t>the Cou</w:t>
      </w:r>
      <w:r w:rsidR="00E96D74">
        <w:rPr>
          <w:rFonts w:ascii="Arial" w:hAnsi="Arial" w:cs="Arial"/>
          <w:sz w:val="22"/>
          <w:szCs w:val="22"/>
        </w:rPr>
        <w:t>n</w:t>
      </w:r>
      <w:r w:rsidR="008C51A0">
        <w:rPr>
          <w:rFonts w:ascii="Arial" w:hAnsi="Arial" w:cs="Arial"/>
          <w:sz w:val="22"/>
          <w:szCs w:val="22"/>
        </w:rPr>
        <w:t>c</w:t>
      </w:r>
      <w:r w:rsidR="00E96D74">
        <w:rPr>
          <w:rFonts w:ascii="Arial" w:hAnsi="Arial" w:cs="Arial"/>
          <w:sz w:val="22"/>
          <w:szCs w:val="22"/>
        </w:rPr>
        <w:t>i</w:t>
      </w:r>
      <w:r w:rsidR="008C51A0">
        <w:rPr>
          <w:rFonts w:ascii="Arial" w:hAnsi="Arial" w:cs="Arial"/>
          <w:sz w:val="22"/>
          <w:szCs w:val="22"/>
        </w:rPr>
        <w:t xml:space="preserve">l expect to 1,179 homes to be delivered on sites of less </w:t>
      </w:r>
      <w:r w:rsidR="002D7F32">
        <w:rPr>
          <w:rFonts w:ascii="Arial" w:hAnsi="Arial" w:cs="Arial"/>
          <w:sz w:val="22"/>
          <w:szCs w:val="22"/>
        </w:rPr>
        <w:t>than</w:t>
      </w:r>
      <w:r w:rsidR="008C51A0">
        <w:rPr>
          <w:rFonts w:ascii="Arial" w:hAnsi="Arial" w:cs="Arial"/>
          <w:sz w:val="22"/>
          <w:szCs w:val="22"/>
        </w:rPr>
        <w:t xml:space="preserve"> one hectare</w:t>
      </w:r>
      <w:r w:rsidR="00901C9C">
        <w:rPr>
          <w:rFonts w:ascii="Arial" w:hAnsi="Arial" w:cs="Arial"/>
          <w:sz w:val="22"/>
          <w:szCs w:val="22"/>
        </w:rPr>
        <w:t xml:space="preserve">. This is 230 homes short of the required 10% which the </w:t>
      </w:r>
      <w:r w:rsidR="002D7F32">
        <w:rPr>
          <w:rFonts w:ascii="Arial" w:hAnsi="Arial" w:cs="Arial"/>
          <w:sz w:val="22"/>
          <w:szCs w:val="22"/>
        </w:rPr>
        <w:t>Council</w:t>
      </w:r>
      <w:r w:rsidR="00901C9C">
        <w:rPr>
          <w:rFonts w:ascii="Arial" w:hAnsi="Arial" w:cs="Arial"/>
          <w:sz w:val="22"/>
          <w:szCs w:val="22"/>
        </w:rPr>
        <w:t xml:space="preserve"> state will be met through </w:t>
      </w:r>
      <w:r w:rsidR="002D7F32">
        <w:rPr>
          <w:rFonts w:ascii="Arial" w:hAnsi="Arial" w:cs="Arial"/>
          <w:sz w:val="22"/>
          <w:szCs w:val="22"/>
        </w:rPr>
        <w:t xml:space="preserve">small site allocations in neighbourhood plans. </w:t>
      </w:r>
      <w:r w:rsidR="00BD4F4B">
        <w:rPr>
          <w:rFonts w:ascii="Arial" w:hAnsi="Arial" w:cs="Arial"/>
          <w:sz w:val="22"/>
          <w:szCs w:val="22"/>
        </w:rPr>
        <w:t xml:space="preserve">Firstly, it is in no way certain that the </w:t>
      </w:r>
      <w:r w:rsidR="00E12154">
        <w:rPr>
          <w:rFonts w:ascii="Arial" w:hAnsi="Arial" w:cs="Arial"/>
          <w:sz w:val="22"/>
          <w:szCs w:val="22"/>
        </w:rPr>
        <w:t>neighbourhood</w:t>
      </w:r>
      <w:r w:rsidR="00BD4F4B">
        <w:rPr>
          <w:rFonts w:ascii="Arial" w:hAnsi="Arial" w:cs="Arial"/>
          <w:sz w:val="22"/>
          <w:szCs w:val="22"/>
        </w:rPr>
        <w:t xml:space="preserve"> plans will deliver the additional 230</w:t>
      </w:r>
      <w:r w:rsidR="00E12154">
        <w:rPr>
          <w:rFonts w:ascii="Arial" w:hAnsi="Arial" w:cs="Arial"/>
          <w:sz w:val="22"/>
          <w:szCs w:val="22"/>
        </w:rPr>
        <w:t xml:space="preserve"> homes. They may </w:t>
      </w:r>
      <w:r w:rsidR="00A723EB">
        <w:rPr>
          <w:rFonts w:ascii="Arial" w:hAnsi="Arial" w:cs="Arial"/>
          <w:sz w:val="22"/>
          <w:szCs w:val="22"/>
        </w:rPr>
        <w:t>allocate</w:t>
      </w:r>
      <w:r w:rsidR="00E12154">
        <w:rPr>
          <w:rFonts w:ascii="Arial" w:hAnsi="Arial" w:cs="Arial"/>
          <w:sz w:val="22"/>
          <w:szCs w:val="22"/>
        </w:rPr>
        <w:t xml:space="preserve"> some </w:t>
      </w:r>
      <w:r w:rsidR="00A723EB">
        <w:rPr>
          <w:rFonts w:ascii="Arial" w:hAnsi="Arial" w:cs="Arial"/>
          <w:sz w:val="22"/>
          <w:szCs w:val="22"/>
        </w:rPr>
        <w:t>homes on small,</w:t>
      </w:r>
      <w:r w:rsidR="00E12154">
        <w:rPr>
          <w:rFonts w:ascii="Arial" w:hAnsi="Arial" w:cs="Arial"/>
          <w:sz w:val="22"/>
          <w:szCs w:val="22"/>
        </w:rPr>
        <w:t xml:space="preserve"> but no evidence is provided to show that they will. This would appear to be an assumption and clear evidence will be required to show that such </w:t>
      </w:r>
      <w:r w:rsidR="00D33AD2">
        <w:rPr>
          <w:rFonts w:ascii="Arial" w:hAnsi="Arial" w:cs="Arial"/>
          <w:sz w:val="22"/>
          <w:szCs w:val="22"/>
        </w:rPr>
        <w:t xml:space="preserve">allocations will be made in neighbourhood plans. </w:t>
      </w:r>
    </w:p>
    <w:p w14:paraId="316F8D34" w14:textId="77777777" w:rsidR="00D33AD2" w:rsidRDefault="00D33AD2" w:rsidP="00F96A66">
      <w:pPr>
        <w:spacing w:line="360" w:lineRule="auto"/>
        <w:jc w:val="both"/>
        <w:rPr>
          <w:rFonts w:ascii="Arial" w:hAnsi="Arial" w:cs="Arial"/>
          <w:sz w:val="22"/>
          <w:szCs w:val="22"/>
        </w:rPr>
      </w:pPr>
    </w:p>
    <w:p w14:paraId="2ABAE46E" w14:textId="4D87842A" w:rsidR="00D33AD2" w:rsidRDefault="00D33AD2" w:rsidP="00F96A66">
      <w:pPr>
        <w:spacing w:line="360" w:lineRule="auto"/>
        <w:jc w:val="both"/>
        <w:rPr>
          <w:rFonts w:ascii="Arial" w:hAnsi="Arial" w:cs="Arial"/>
          <w:sz w:val="22"/>
          <w:szCs w:val="22"/>
        </w:rPr>
      </w:pPr>
      <w:r w:rsidRPr="00D33AD2">
        <w:rPr>
          <w:rFonts w:ascii="Arial" w:hAnsi="Arial" w:cs="Arial"/>
          <w:sz w:val="22"/>
          <w:szCs w:val="22"/>
        </w:rPr>
        <w:t>However,</w:t>
      </w:r>
      <w:r>
        <w:rPr>
          <w:rFonts w:ascii="Arial" w:hAnsi="Arial" w:cs="Arial"/>
          <w:sz w:val="22"/>
          <w:szCs w:val="22"/>
        </w:rPr>
        <w:t xml:space="preserve"> HBF have further concerns with</w:t>
      </w:r>
      <w:r w:rsidRPr="00D33AD2">
        <w:rPr>
          <w:rFonts w:ascii="Arial" w:hAnsi="Arial" w:cs="Arial"/>
          <w:sz w:val="22"/>
          <w:szCs w:val="22"/>
        </w:rPr>
        <w:t xml:space="preserve"> </w:t>
      </w:r>
      <w:r>
        <w:rPr>
          <w:rFonts w:ascii="Arial" w:hAnsi="Arial" w:cs="Arial"/>
          <w:sz w:val="22"/>
          <w:szCs w:val="22"/>
        </w:rPr>
        <w:t>the</w:t>
      </w:r>
      <w:r w:rsidRPr="00D33AD2">
        <w:rPr>
          <w:rFonts w:ascii="Arial" w:hAnsi="Arial" w:cs="Arial"/>
          <w:sz w:val="22"/>
          <w:szCs w:val="22"/>
        </w:rPr>
        <w:t xml:space="preserve"> likely supply</w:t>
      </w:r>
      <w:r>
        <w:rPr>
          <w:rFonts w:ascii="Arial" w:hAnsi="Arial" w:cs="Arial"/>
          <w:sz w:val="22"/>
          <w:szCs w:val="22"/>
        </w:rPr>
        <w:t xml:space="preserve"> of small sites</w:t>
      </w:r>
      <w:r w:rsidRPr="00D33AD2">
        <w:rPr>
          <w:rFonts w:ascii="Arial" w:hAnsi="Arial" w:cs="Arial"/>
          <w:sz w:val="22"/>
          <w:szCs w:val="22"/>
        </w:rPr>
        <w:t xml:space="preserve"> from windfall</w:t>
      </w:r>
      <w:r>
        <w:rPr>
          <w:rFonts w:ascii="Arial" w:hAnsi="Arial" w:cs="Arial"/>
          <w:sz w:val="22"/>
          <w:szCs w:val="22"/>
        </w:rPr>
        <w:t xml:space="preserve"> is included in </w:t>
      </w:r>
      <w:r w:rsidR="00B9613F">
        <w:rPr>
          <w:rFonts w:ascii="Arial" w:hAnsi="Arial" w:cs="Arial"/>
          <w:sz w:val="22"/>
          <w:szCs w:val="22"/>
        </w:rPr>
        <w:t>its supply of small sites. We do</w:t>
      </w:r>
      <w:r w:rsidRPr="00D33AD2">
        <w:rPr>
          <w:rFonts w:ascii="Arial" w:hAnsi="Arial" w:cs="Arial"/>
          <w:sz w:val="22"/>
          <w:szCs w:val="22"/>
        </w:rPr>
        <w:t xml:space="preserve"> not consider</w:t>
      </w:r>
      <w:r w:rsidR="00B9613F">
        <w:rPr>
          <w:rFonts w:ascii="Arial" w:hAnsi="Arial" w:cs="Arial"/>
          <w:sz w:val="22"/>
          <w:szCs w:val="22"/>
        </w:rPr>
        <w:t xml:space="preserve"> this</w:t>
      </w:r>
      <w:r w:rsidRPr="00D33AD2">
        <w:rPr>
          <w:rFonts w:ascii="Arial" w:hAnsi="Arial" w:cs="Arial"/>
          <w:sz w:val="22"/>
          <w:szCs w:val="22"/>
        </w:rPr>
        <w:t xml:space="preserve"> to be a sound approach </w:t>
      </w:r>
      <w:r w:rsidR="00B9613F">
        <w:rPr>
          <w:rFonts w:ascii="Arial" w:hAnsi="Arial" w:cs="Arial"/>
          <w:sz w:val="22"/>
          <w:szCs w:val="22"/>
        </w:rPr>
        <w:t>as it is in</w:t>
      </w:r>
      <w:r w:rsidRPr="00D33AD2">
        <w:rPr>
          <w:rFonts w:ascii="Arial" w:hAnsi="Arial" w:cs="Arial"/>
          <w:sz w:val="22"/>
          <w:szCs w:val="22"/>
        </w:rPr>
        <w:t xml:space="preserve">consistent with the expectations of national policy. The NPPF is clear that the 10% should be on land identified in the plan yet the Council include likely supply from windfalls which are </w:t>
      </w:r>
      <w:r w:rsidR="00B9613F">
        <w:rPr>
          <w:rFonts w:ascii="Arial" w:hAnsi="Arial" w:cs="Arial"/>
          <w:sz w:val="22"/>
          <w:szCs w:val="22"/>
        </w:rPr>
        <w:t xml:space="preserve">not </w:t>
      </w:r>
      <w:r w:rsidRPr="00D33AD2">
        <w:rPr>
          <w:rFonts w:ascii="Arial" w:hAnsi="Arial" w:cs="Arial"/>
          <w:sz w:val="22"/>
          <w:szCs w:val="22"/>
        </w:rPr>
        <w:t xml:space="preserve">sites identified in either the local plan or brownfield register. Removing these from the Council’s expectations for small sites means that the Council can only show a supply of </w:t>
      </w:r>
      <w:r w:rsidR="00AE064A">
        <w:rPr>
          <w:rFonts w:ascii="Arial" w:hAnsi="Arial" w:cs="Arial"/>
          <w:sz w:val="22"/>
          <w:szCs w:val="22"/>
        </w:rPr>
        <w:t>531</w:t>
      </w:r>
      <w:r w:rsidRPr="00D33AD2">
        <w:rPr>
          <w:rFonts w:ascii="Arial" w:hAnsi="Arial" w:cs="Arial"/>
          <w:sz w:val="22"/>
          <w:szCs w:val="22"/>
        </w:rPr>
        <w:t xml:space="preserve"> homes on identified sites of less than one hectare and leaves a shortfall of nearly </w:t>
      </w:r>
      <w:r w:rsidR="00A723EB">
        <w:rPr>
          <w:rFonts w:ascii="Arial" w:hAnsi="Arial" w:cs="Arial"/>
          <w:sz w:val="22"/>
          <w:szCs w:val="22"/>
        </w:rPr>
        <w:t>819</w:t>
      </w:r>
      <w:r w:rsidRPr="00D33AD2">
        <w:rPr>
          <w:rFonts w:ascii="Arial" w:hAnsi="Arial" w:cs="Arial"/>
          <w:sz w:val="22"/>
          <w:szCs w:val="22"/>
        </w:rPr>
        <w:t xml:space="preserve"> homes to be delivered on sites of less than one hectare rather than the surplus identified by the Council.</w:t>
      </w:r>
    </w:p>
    <w:p w14:paraId="300769A3" w14:textId="77777777" w:rsidR="00A723EB" w:rsidRPr="00D33AD2" w:rsidRDefault="00A723EB" w:rsidP="00F96A66">
      <w:pPr>
        <w:spacing w:line="360" w:lineRule="auto"/>
        <w:jc w:val="both"/>
        <w:rPr>
          <w:rFonts w:ascii="Arial" w:hAnsi="Arial" w:cs="Arial"/>
          <w:sz w:val="22"/>
          <w:szCs w:val="22"/>
        </w:rPr>
      </w:pPr>
    </w:p>
    <w:p w14:paraId="3DBE1D80" w14:textId="77777777" w:rsidR="00D0431B" w:rsidRDefault="00A84B2C" w:rsidP="00F96A66">
      <w:pPr>
        <w:spacing w:line="360" w:lineRule="auto"/>
        <w:jc w:val="both"/>
        <w:rPr>
          <w:rFonts w:ascii="Arial" w:hAnsi="Arial" w:cs="Arial"/>
          <w:sz w:val="22"/>
          <w:szCs w:val="22"/>
        </w:rPr>
      </w:pPr>
      <w:r>
        <w:rPr>
          <w:rFonts w:ascii="Arial" w:hAnsi="Arial" w:cs="Arial"/>
          <w:sz w:val="22"/>
          <w:szCs w:val="22"/>
        </w:rPr>
        <w:t>It is important to recognise that</w:t>
      </w:r>
      <w:r w:rsidR="00D33AD2" w:rsidRPr="00D33AD2">
        <w:rPr>
          <w:rFonts w:ascii="Arial" w:hAnsi="Arial" w:cs="Arial"/>
          <w:sz w:val="22"/>
          <w:szCs w:val="22"/>
        </w:rPr>
        <w:t xml:space="preserve"> the intention of this policy stems from the Government’s desire to support small house builders by ensuring that they benefit from the having their sites identified for development either through the local plan or brownfield register. The effect of an allocation is to take some of the risk out of that development and provide greater certainty that those sites come forward. This in turn will allow the SME sector to grow, deliver homes that will increase the diversity of the new homes that are available as well as bring those homes forward earlier in the plan period.</w:t>
      </w:r>
      <w:r w:rsidR="00D0431B">
        <w:rPr>
          <w:rFonts w:ascii="Arial" w:hAnsi="Arial" w:cs="Arial"/>
          <w:sz w:val="22"/>
          <w:szCs w:val="22"/>
        </w:rPr>
        <w:t xml:space="preserve"> </w:t>
      </w:r>
    </w:p>
    <w:p w14:paraId="30F658A1" w14:textId="77777777" w:rsidR="00D0431B" w:rsidRDefault="00D0431B" w:rsidP="00F96A66">
      <w:pPr>
        <w:spacing w:line="360" w:lineRule="auto"/>
        <w:jc w:val="both"/>
        <w:rPr>
          <w:rFonts w:ascii="Arial" w:hAnsi="Arial" w:cs="Arial"/>
          <w:sz w:val="22"/>
          <w:szCs w:val="22"/>
        </w:rPr>
      </w:pPr>
    </w:p>
    <w:p w14:paraId="2549E0A6" w14:textId="0ABEE62D" w:rsidR="00D33AD2" w:rsidRDefault="00D33AD2" w:rsidP="00F96A66">
      <w:pPr>
        <w:spacing w:line="360" w:lineRule="auto"/>
        <w:jc w:val="both"/>
        <w:rPr>
          <w:rFonts w:ascii="Arial" w:hAnsi="Arial" w:cs="Arial"/>
          <w:sz w:val="22"/>
          <w:szCs w:val="22"/>
        </w:rPr>
      </w:pPr>
      <w:r w:rsidRPr="00D33AD2">
        <w:rPr>
          <w:rFonts w:ascii="Arial" w:hAnsi="Arial" w:cs="Arial"/>
          <w:sz w:val="22"/>
          <w:szCs w:val="22"/>
        </w:rPr>
        <w:t xml:space="preserve">The Council is failing to recognise that by not allocating more small sites it is contributing to the decline in small and medium sized house builders. Recent research by the HBF has found that there are 85% fewer small house builders today than there was 20 years ago and that of a survey of 202 SME house builders 87% said they were considering winding up </w:t>
      </w:r>
      <w:r w:rsidR="00D0431B" w:rsidRPr="00D33AD2">
        <w:rPr>
          <w:rFonts w:ascii="Arial" w:hAnsi="Arial" w:cs="Arial"/>
          <w:sz w:val="22"/>
          <w:szCs w:val="22"/>
        </w:rPr>
        <w:t>their</w:t>
      </w:r>
      <w:r w:rsidRPr="00D33AD2">
        <w:rPr>
          <w:rFonts w:ascii="Arial" w:hAnsi="Arial" w:cs="Arial"/>
          <w:sz w:val="22"/>
          <w:szCs w:val="22"/>
        </w:rPr>
        <w:t xml:space="preserve"> residential activities in the next three years. Whilst this decline is due to a range of factors more allocations of small would ease the burden on many SME developers and provide more certainty that </w:t>
      </w:r>
      <w:r w:rsidR="00D0431B" w:rsidRPr="00D33AD2">
        <w:rPr>
          <w:rFonts w:ascii="Arial" w:hAnsi="Arial" w:cs="Arial"/>
          <w:sz w:val="22"/>
          <w:szCs w:val="22"/>
        </w:rPr>
        <w:t>their</w:t>
      </w:r>
      <w:r w:rsidRPr="00D33AD2">
        <w:rPr>
          <w:rFonts w:ascii="Arial" w:hAnsi="Arial" w:cs="Arial"/>
          <w:sz w:val="22"/>
          <w:szCs w:val="22"/>
        </w:rPr>
        <w:t xml:space="preserve"> scheme will be permitted allowing them to secure the necessary finance that is often unavailable to SMEs until permission is granted.</w:t>
      </w:r>
    </w:p>
    <w:p w14:paraId="4EA76855" w14:textId="77777777" w:rsidR="00D0431B" w:rsidRPr="00D33AD2" w:rsidRDefault="00D0431B" w:rsidP="00F96A66">
      <w:pPr>
        <w:spacing w:line="360" w:lineRule="auto"/>
        <w:jc w:val="both"/>
        <w:rPr>
          <w:rFonts w:ascii="Arial" w:hAnsi="Arial" w:cs="Arial"/>
          <w:sz w:val="22"/>
          <w:szCs w:val="22"/>
        </w:rPr>
      </w:pPr>
    </w:p>
    <w:p w14:paraId="68D93154" w14:textId="1E3BFCC6" w:rsidR="00D33AD2" w:rsidRDefault="00D33AD2" w:rsidP="00F96A66">
      <w:pPr>
        <w:spacing w:line="360" w:lineRule="auto"/>
        <w:jc w:val="both"/>
        <w:rPr>
          <w:rFonts w:ascii="Arial" w:hAnsi="Arial" w:cs="Arial"/>
          <w:sz w:val="22"/>
          <w:szCs w:val="22"/>
        </w:rPr>
      </w:pPr>
      <w:r w:rsidRPr="00D33AD2">
        <w:rPr>
          <w:rFonts w:ascii="Arial" w:hAnsi="Arial" w:cs="Arial"/>
          <w:sz w:val="22"/>
          <w:szCs w:val="22"/>
        </w:rPr>
        <w:t>In order for the plan to be found sound the Council must identify additional small sites for allocation in the local plan or identified in the Brownfield Register in order to ensure that 10% of the housing requirement is on small sites that have actually been identified.</w:t>
      </w:r>
    </w:p>
    <w:p w14:paraId="7A018613" w14:textId="77777777" w:rsidR="004519F6" w:rsidRDefault="004519F6" w:rsidP="00F96A66">
      <w:pPr>
        <w:spacing w:line="360" w:lineRule="auto"/>
        <w:jc w:val="both"/>
        <w:rPr>
          <w:rFonts w:ascii="Arial" w:hAnsi="Arial" w:cs="Arial"/>
          <w:sz w:val="22"/>
          <w:szCs w:val="22"/>
        </w:rPr>
      </w:pPr>
    </w:p>
    <w:p w14:paraId="5BECDF58" w14:textId="77777777" w:rsidR="008B2B17" w:rsidRPr="008B2B17" w:rsidRDefault="008B2B17" w:rsidP="00F96A66">
      <w:pPr>
        <w:spacing w:line="360" w:lineRule="auto"/>
        <w:jc w:val="both"/>
        <w:rPr>
          <w:rFonts w:ascii="Arial" w:hAnsi="Arial" w:cs="Arial"/>
          <w:b/>
          <w:bCs/>
          <w:sz w:val="22"/>
          <w:szCs w:val="22"/>
        </w:rPr>
      </w:pPr>
      <w:r w:rsidRPr="008B2B17">
        <w:rPr>
          <w:rFonts w:ascii="Arial" w:hAnsi="Arial" w:cs="Arial"/>
          <w:b/>
          <w:bCs/>
          <w:sz w:val="22"/>
          <w:szCs w:val="22"/>
        </w:rPr>
        <w:t>Policy H6 Custom and/or Self Build Homes</w:t>
      </w:r>
    </w:p>
    <w:p w14:paraId="71690C7D" w14:textId="77777777" w:rsidR="008B2B17" w:rsidRDefault="008B2B17" w:rsidP="00F96A66">
      <w:pPr>
        <w:spacing w:line="360" w:lineRule="auto"/>
        <w:jc w:val="both"/>
        <w:rPr>
          <w:rFonts w:ascii="Arial" w:hAnsi="Arial" w:cs="Arial"/>
          <w:sz w:val="22"/>
          <w:szCs w:val="22"/>
        </w:rPr>
      </w:pPr>
    </w:p>
    <w:p w14:paraId="2941296F" w14:textId="1EB3C3BE" w:rsidR="008B2B17" w:rsidRPr="004519F6" w:rsidRDefault="008B2B17" w:rsidP="00F96A66">
      <w:pPr>
        <w:spacing w:line="360" w:lineRule="auto"/>
        <w:jc w:val="both"/>
        <w:rPr>
          <w:rFonts w:ascii="Arial" w:hAnsi="Arial" w:cs="Arial"/>
          <w:i/>
          <w:iCs/>
          <w:sz w:val="22"/>
          <w:szCs w:val="22"/>
          <w:u w:val="single"/>
        </w:rPr>
      </w:pPr>
      <w:r w:rsidRPr="004519F6">
        <w:rPr>
          <w:rFonts w:ascii="Arial" w:hAnsi="Arial" w:cs="Arial"/>
          <w:i/>
          <w:iCs/>
          <w:sz w:val="22"/>
          <w:szCs w:val="22"/>
          <w:u w:val="single"/>
        </w:rPr>
        <w:t>Q.79 Are the 200 unit threshold and the % of market units requirements justified?</w:t>
      </w:r>
    </w:p>
    <w:p w14:paraId="46003F37" w14:textId="77777777" w:rsidR="008B2B17" w:rsidRDefault="008B2B17" w:rsidP="00F96A66">
      <w:pPr>
        <w:spacing w:line="360" w:lineRule="auto"/>
        <w:jc w:val="both"/>
        <w:rPr>
          <w:rFonts w:ascii="Arial" w:hAnsi="Arial" w:cs="Arial"/>
          <w:sz w:val="22"/>
          <w:szCs w:val="22"/>
        </w:rPr>
      </w:pPr>
    </w:p>
    <w:p w14:paraId="503CE626" w14:textId="2ABAF647" w:rsidR="00010A74" w:rsidRDefault="003538DD" w:rsidP="00F96A66">
      <w:pPr>
        <w:spacing w:line="360" w:lineRule="auto"/>
        <w:jc w:val="both"/>
        <w:rPr>
          <w:rFonts w:ascii="Arial" w:hAnsi="Arial" w:cs="Arial"/>
          <w:sz w:val="22"/>
          <w:szCs w:val="22"/>
        </w:rPr>
      </w:pPr>
      <w:r>
        <w:rPr>
          <w:rFonts w:ascii="Arial" w:hAnsi="Arial" w:cs="Arial"/>
          <w:sz w:val="22"/>
          <w:szCs w:val="22"/>
        </w:rPr>
        <w:t>T</w:t>
      </w:r>
      <w:r w:rsidR="00672D73">
        <w:rPr>
          <w:rFonts w:ascii="Arial" w:hAnsi="Arial" w:cs="Arial"/>
          <w:sz w:val="22"/>
          <w:szCs w:val="22"/>
        </w:rPr>
        <w:t xml:space="preserve">able </w:t>
      </w:r>
      <w:r w:rsidR="00D90849">
        <w:rPr>
          <w:rFonts w:ascii="Arial" w:hAnsi="Arial" w:cs="Arial"/>
          <w:sz w:val="22"/>
          <w:szCs w:val="22"/>
        </w:rPr>
        <w:t>1</w:t>
      </w:r>
      <w:r w:rsidR="00B159F0">
        <w:rPr>
          <w:rFonts w:ascii="Arial" w:hAnsi="Arial" w:cs="Arial"/>
          <w:sz w:val="22"/>
          <w:szCs w:val="22"/>
        </w:rPr>
        <w:t xml:space="preserve">.1 in the </w:t>
      </w:r>
      <w:r w:rsidR="0010674F">
        <w:rPr>
          <w:rFonts w:ascii="Arial" w:hAnsi="Arial" w:cs="Arial"/>
          <w:sz w:val="22"/>
          <w:szCs w:val="22"/>
        </w:rPr>
        <w:t xml:space="preserve">Self and Custom Build </w:t>
      </w:r>
      <w:r w:rsidR="0005592C">
        <w:rPr>
          <w:rFonts w:ascii="Arial" w:hAnsi="Arial" w:cs="Arial"/>
          <w:sz w:val="22"/>
          <w:szCs w:val="22"/>
        </w:rPr>
        <w:t>Note</w:t>
      </w:r>
      <w:r w:rsidR="00990076">
        <w:rPr>
          <w:rFonts w:ascii="Arial" w:hAnsi="Arial" w:cs="Arial"/>
          <w:sz w:val="22"/>
          <w:szCs w:val="22"/>
        </w:rPr>
        <w:t xml:space="preserve"> (H13)</w:t>
      </w:r>
      <w:r w:rsidR="0005592C">
        <w:rPr>
          <w:rFonts w:ascii="Arial" w:hAnsi="Arial" w:cs="Arial"/>
          <w:sz w:val="22"/>
          <w:szCs w:val="22"/>
        </w:rPr>
        <w:t xml:space="preserve"> indicates</w:t>
      </w:r>
      <w:r w:rsidR="00B159F0">
        <w:rPr>
          <w:rFonts w:ascii="Arial" w:hAnsi="Arial" w:cs="Arial"/>
          <w:sz w:val="22"/>
          <w:szCs w:val="22"/>
        </w:rPr>
        <w:t xml:space="preserve"> </w:t>
      </w:r>
      <w:r w:rsidR="001627E8">
        <w:rPr>
          <w:rFonts w:ascii="Arial" w:hAnsi="Arial" w:cs="Arial"/>
          <w:sz w:val="22"/>
          <w:szCs w:val="22"/>
        </w:rPr>
        <w:t xml:space="preserve">that </w:t>
      </w:r>
      <w:r w:rsidR="000C0DC7">
        <w:rPr>
          <w:rFonts w:ascii="Arial" w:hAnsi="Arial" w:cs="Arial"/>
          <w:sz w:val="22"/>
          <w:szCs w:val="22"/>
        </w:rPr>
        <w:t>since 2016</w:t>
      </w:r>
      <w:r w:rsidR="00BC12A4">
        <w:rPr>
          <w:rFonts w:ascii="Arial" w:hAnsi="Arial" w:cs="Arial"/>
          <w:sz w:val="22"/>
          <w:szCs w:val="22"/>
        </w:rPr>
        <w:t xml:space="preserve"> 1</w:t>
      </w:r>
      <w:r w:rsidR="00A66DB2">
        <w:rPr>
          <w:rFonts w:ascii="Arial" w:hAnsi="Arial" w:cs="Arial"/>
          <w:sz w:val="22"/>
          <w:szCs w:val="22"/>
        </w:rPr>
        <w:t>90</w:t>
      </w:r>
      <w:r w:rsidR="00BC12A4">
        <w:rPr>
          <w:rFonts w:ascii="Arial" w:hAnsi="Arial" w:cs="Arial"/>
          <w:sz w:val="22"/>
          <w:szCs w:val="22"/>
        </w:rPr>
        <w:t xml:space="preserve"> people have asked to be put on the </w:t>
      </w:r>
      <w:r w:rsidR="00B159F0">
        <w:rPr>
          <w:rFonts w:ascii="Arial" w:hAnsi="Arial" w:cs="Arial"/>
          <w:sz w:val="22"/>
          <w:szCs w:val="22"/>
        </w:rPr>
        <w:t xml:space="preserve">that Council’s Self </w:t>
      </w:r>
      <w:r w:rsidR="00E211B7">
        <w:rPr>
          <w:rFonts w:ascii="Arial" w:hAnsi="Arial" w:cs="Arial"/>
          <w:sz w:val="22"/>
          <w:szCs w:val="22"/>
        </w:rPr>
        <w:t xml:space="preserve">and Custom </w:t>
      </w:r>
      <w:r w:rsidR="00B159F0">
        <w:rPr>
          <w:rFonts w:ascii="Arial" w:hAnsi="Arial" w:cs="Arial"/>
          <w:sz w:val="22"/>
          <w:szCs w:val="22"/>
        </w:rPr>
        <w:t>Build Register</w:t>
      </w:r>
      <w:r w:rsidR="00A66DB2">
        <w:rPr>
          <w:rFonts w:ascii="Arial" w:hAnsi="Arial" w:cs="Arial"/>
          <w:sz w:val="22"/>
          <w:szCs w:val="22"/>
        </w:rPr>
        <w:t xml:space="preserve">. </w:t>
      </w:r>
      <w:r w:rsidR="0005592C">
        <w:rPr>
          <w:rFonts w:ascii="Arial" w:hAnsi="Arial" w:cs="Arial"/>
          <w:sz w:val="22"/>
          <w:szCs w:val="22"/>
        </w:rPr>
        <w:t xml:space="preserve">The </w:t>
      </w:r>
      <w:r w:rsidR="00154B34">
        <w:rPr>
          <w:rFonts w:ascii="Arial" w:hAnsi="Arial" w:cs="Arial"/>
          <w:sz w:val="22"/>
          <w:szCs w:val="22"/>
        </w:rPr>
        <w:t xml:space="preserve">note goes on to say that </w:t>
      </w:r>
      <w:r w:rsidR="00C3501C">
        <w:rPr>
          <w:rFonts w:ascii="Arial" w:hAnsi="Arial" w:cs="Arial"/>
          <w:sz w:val="22"/>
          <w:szCs w:val="22"/>
        </w:rPr>
        <w:t>the</w:t>
      </w:r>
      <w:r w:rsidR="00A66DB2">
        <w:rPr>
          <w:rFonts w:ascii="Arial" w:hAnsi="Arial" w:cs="Arial"/>
          <w:sz w:val="22"/>
          <w:szCs w:val="22"/>
        </w:rPr>
        <w:t xml:space="preserve"> </w:t>
      </w:r>
      <w:r w:rsidR="00C3501C">
        <w:rPr>
          <w:rFonts w:ascii="Arial" w:hAnsi="Arial" w:cs="Arial"/>
          <w:sz w:val="22"/>
          <w:szCs w:val="22"/>
        </w:rPr>
        <w:t>local</w:t>
      </w:r>
      <w:r w:rsidR="00A66DB2">
        <w:rPr>
          <w:rFonts w:ascii="Arial" w:hAnsi="Arial" w:cs="Arial"/>
          <w:sz w:val="22"/>
          <w:szCs w:val="22"/>
        </w:rPr>
        <w:t xml:space="preserve"> eligibility test has only applied </w:t>
      </w:r>
      <w:r w:rsidR="00C3501C">
        <w:rPr>
          <w:rFonts w:ascii="Arial" w:hAnsi="Arial" w:cs="Arial"/>
          <w:sz w:val="22"/>
          <w:szCs w:val="22"/>
        </w:rPr>
        <w:t>since</w:t>
      </w:r>
      <w:r w:rsidR="00A66DB2">
        <w:rPr>
          <w:rFonts w:ascii="Arial" w:hAnsi="Arial" w:cs="Arial"/>
          <w:sz w:val="22"/>
          <w:szCs w:val="22"/>
        </w:rPr>
        <w:t xml:space="preserve"> 2018 and as such </w:t>
      </w:r>
      <w:r w:rsidR="00C3501C">
        <w:rPr>
          <w:rFonts w:ascii="Arial" w:hAnsi="Arial" w:cs="Arial"/>
          <w:sz w:val="22"/>
          <w:szCs w:val="22"/>
        </w:rPr>
        <w:t>this figure likely overestimates</w:t>
      </w:r>
      <w:r w:rsidR="00A66DB2">
        <w:rPr>
          <w:rFonts w:ascii="Arial" w:hAnsi="Arial" w:cs="Arial"/>
          <w:sz w:val="22"/>
          <w:szCs w:val="22"/>
        </w:rPr>
        <w:t xml:space="preserve"> </w:t>
      </w:r>
      <w:r w:rsidR="00C3501C">
        <w:rPr>
          <w:rFonts w:ascii="Arial" w:hAnsi="Arial" w:cs="Arial"/>
          <w:sz w:val="22"/>
          <w:szCs w:val="22"/>
        </w:rPr>
        <w:t>demand.</w:t>
      </w:r>
      <w:r w:rsidR="00A66DB2">
        <w:rPr>
          <w:rFonts w:ascii="Arial" w:hAnsi="Arial" w:cs="Arial"/>
          <w:sz w:val="22"/>
          <w:szCs w:val="22"/>
        </w:rPr>
        <w:t xml:space="preserve"> </w:t>
      </w:r>
      <w:r w:rsidR="001C50CE">
        <w:rPr>
          <w:rFonts w:ascii="Arial" w:hAnsi="Arial" w:cs="Arial"/>
          <w:sz w:val="22"/>
          <w:szCs w:val="22"/>
        </w:rPr>
        <w:t xml:space="preserve">The paper therefore notes that there are currently 66 </w:t>
      </w:r>
      <w:r w:rsidR="00C3501C">
        <w:rPr>
          <w:rFonts w:ascii="Arial" w:hAnsi="Arial" w:cs="Arial"/>
          <w:sz w:val="22"/>
          <w:szCs w:val="22"/>
        </w:rPr>
        <w:t>applications</w:t>
      </w:r>
      <w:r w:rsidR="001C50CE">
        <w:rPr>
          <w:rFonts w:ascii="Arial" w:hAnsi="Arial" w:cs="Arial"/>
          <w:sz w:val="22"/>
          <w:szCs w:val="22"/>
        </w:rPr>
        <w:t xml:space="preserve"> </w:t>
      </w:r>
      <w:r w:rsidR="00C3501C">
        <w:rPr>
          <w:rFonts w:ascii="Arial" w:hAnsi="Arial" w:cs="Arial"/>
          <w:sz w:val="22"/>
          <w:szCs w:val="22"/>
        </w:rPr>
        <w:t>on the</w:t>
      </w:r>
      <w:r w:rsidR="001C50CE">
        <w:rPr>
          <w:rFonts w:ascii="Arial" w:hAnsi="Arial" w:cs="Arial"/>
          <w:sz w:val="22"/>
          <w:szCs w:val="22"/>
        </w:rPr>
        <w:t xml:space="preserve"> </w:t>
      </w:r>
      <w:r w:rsidR="00C3501C">
        <w:rPr>
          <w:rFonts w:ascii="Arial" w:hAnsi="Arial" w:cs="Arial"/>
          <w:sz w:val="22"/>
          <w:szCs w:val="22"/>
        </w:rPr>
        <w:t>self-build</w:t>
      </w:r>
      <w:r w:rsidR="001C50CE">
        <w:rPr>
          <w:rFonts w:ascii="Arial" w:hAnsi="Arial" w:cs="Arial"/>
          <w:sz w:val="22"/>
          <w:szCs w:val="22"/>
        </w:rPr>
        <w:t xml:space="preserve"> register, which is an average of 12 </w:t>
      </w:r>
      <w:r w:rsidR="00C3501C">
        <w:rPr>
          <w:rFonts w:ascii="Arial" w:hAnsi="Arial" w:cs="Arial"/>
          <w:sz w:val="22"/>
          <w:szCs w:val="22"/>
        </w:rPr>
        <w:t>people registering per annum.</w:t>
      </w:r>
      <w:r w:rsidR="00E211B7">
        <w:rPr>
          <w:rFonts w:ascii="Arial" w:hAnsi="Arial" w:cs="Arial"/>
          <w:sz w:val="22"/>
          <w:szCs w:val="22"/>
        </w:rPr>
        <w:t xml:space="preserve"> </w:t>
      </w:r>
      <w:r w:rsidR="009A67DF">
        <w:rPr>
          <w:rFonts w:ascii="Arial" w:hAnsi="Arial" w:cs="Arial"/>
          <w:sz w:val="22"/>
          <w:szCs w:val="22"/>
        </w:rPr>
        <w:t xml:space="preserve">This would </w:t>
      </w:r>
      <w:r w:rsidR="00C3501C">
        <w:rPr>
          <w:rFonts w:ascii="Arial" w:hAnsi="Arial" w:cs="Arial"/>
          <w:sz w:val="22"/>
          <w:szCs w:val="22"/>
        </w:rPr>
        <w:t xml:space="preserve">in itself would </w:t>
      </w:r>
      <w:r w:rsidR="009A67DF">
        <w:rPr>
          <w:rFonts w:ascii="Arial" w:hAnsi="Arial" w:cs="Arial"/>
          <w:sz w:val="22"/>
          <w:szCs w:val="22"/>
        </w:rPr>
        <w:t>suggest that there is limited demand for self-build in the borough.</w:t>
      </w:r>
      <w:r w:rsidR="00F67C5D">
        <w:rPr>
          <w:rFonts w:ascii="Arial" w:hAnsi="Arial" w:cs="Arial"/>
          <w:sz w:val="22"/>
          <w:szCs w:val="22"/>
        </w:rPr>
        <w:t xml:space="preserve"> It is also notable that the part 2 register, those who the council consider </w:t>
      </w:r>
      <w:r w:rsidR="00B31CAD">
        <w:rPr>
          <w:rFonts w:ascii="Arial" w:hAnsi="Arial" w:cs="Arial"/>
          <w:sz w:val="22"/>
          <w:szCs w:val="22"/>
        </w:rPr>
        <w:t>having</w:t>
      </w:r>
      <w:r w:rsidR="005530CC">
        <w:rPr>
          <w:rFonts w:ascii="Arial" w:hAnsi="Arial" w:cs="Arial"/>
          <w:sz w:val="22"/>
          <w:szCs w:val="22"/>
        </w:rPr>
        <w:t xml:space="preserve"> met </w:t>
      </w:r>
      <w:r w:rsidR="00B31CAD">
        <w:rPr>
          <w:rFonts w:ascii="Arial" w:hAnsi="Arial" w:cs="Arial"/>
          <w:sz w:val="22"/>
          <w:szCs w:val="22"/>
        </w:rPr>
        <w:t>other</w:t>
      </w:r>
      <w:r w:rsidR="005530CC">
        <w:rPr>
          <w:rFonts w:ascii="Arial" w:hAnsi="Arial" w:cs="Arial"/>
          <w:sz w:val="22"/>
          <w:szCs w:val="22"/>
        </w:rPr>
        <w:t xml:space="preserve"> </w:t>
      </w:r>
      <w:r w:rsidR="00B31CAD">
        <w:rPr>
          <w:rFonts w:ascii="Arial" w:hAnsi="Arial" w:cs="Arial"/>
          <w:sz w:val="22"/>
          <w:szCs w:val="22"/>
        </w:rPr>
        <w:t>eligibility</w:t>
      </w:r>
      <w:r w:rsidR="005530CC">
        <w:rPr>
          <w:rFonts w:ascii="Arial" w:hAnsi="Arial" w:cs="Arial"/>
          <w:sz w:val="22"/>
          <w:szCs w:val="22"/>
        </w:rPr>
        <w:t xml:space="preserve"> criteria </w:t>
      </w:r>
      <w:r w:rsidR="00A03716">
        <w:rPr>
          <w:rFonts w:ascii="Arial" w:hAnsi="Arial" w:cs="Arial"/>
          <w:sz w:val="22"/>
          <w:szCs w:val="22"/>
        </w:rPr>
        <w:t xml:space="preserve">is just </w:t>
      </w:r>
      <w:r w:rsidR="00A9030A">
        <w:rPr>
          <w:rFonts w:ascii="Arial" w:hAnsi="Arial" w:cs="Arial"/>
          <w:sz w:val="22"/>
          <w:szCs w:val="22"/>
        </w:rPr>
        <w:t>9</w:t>
      </w:r>
      <w:r w:rsidR="00A03716">
        <w:rPr>
          <w:rFonts w:ascii="Arial" w:hAnsi="Arial" w:cs="Arial"/>
          <w:sz w:val="22"/>
          <w:szCs w:val="22"/>
        </w:rPr>
        <w:t xml:space="preserve"> people. </w:t>
      </w:r>
    </w:p>
    <w:p w14:paraId="44055F60" w14:textId="77777777" w:rsidR="00010A74" w:rsidRDefault="00010A74" w:rsidP="00F96A66">
      <w:pPr>
        <w:spacing w:line="360" w:lineRule="auto"/>
        <w:jc w:val="both"/>
        <w:rPr>
          <w:rFonts w:ascii="Arial" w:hAnsi="Arial" w:cs="Arial"/>
          <w:sz w:val="22"/>
          <w:szCs w:val="22"/>
        </w:rPr>
      </w:pPr>
    </w:p>
    <w:p w14:paraId="074B941A" w14:textId="76954EDA" w:rsidR="00010A74" w:rsidRDefault="00010A74" w:rsidP="00F96A66">
      <w:pPr>
        <w:spacing w:line="360" w:lineRule="auto"/>
        <w:jc w:val="both"/>
        <w:rPr>
          <w:rFonts w:ascii="Arial" w:hAnsi="Arial" w:cs="Arial"/>
          <w:sz w:val="22"/>
          <w:szCs w:val="22"/>
        </w:rPr>
      </w:pPr>
      <w:r>
        <w:rPr>
          <w:rFonts w:ascii="Arial" w:hAnsi="Arial" w:cs="Arial"/>
          <w:sz w:val="22"/>
          <w:szCs w:val="22"/>
        </w:rPr>
        <w:t xml:space="preserve">The Council correctly </w:t>
      </w:r>
      <w:r w:rsidR="004A38D1">
        <w:rPr>
          <w:rFonts w:ascii="Arial" w:hAnsi="Arial" w:cs="Arial"/>
          <w:sz w:val="22"/>
          <w:szCs w:val="22"/>
        </w:rPr>
        <w:t>state</w:t>
      </w:r>
      <w:r>
        <w:rPr>
          <w:rFonts w:ascii="Arial" w:hAnsi="Arial" w:cs="Arial"/>
          <w:sz w:val="22"/>
          <w:szCs w:val="22"/>
        </w:rPr>
        <w:t xml:space="preserve"> that they should take account of the part 1 and part 2 register but even considering both parts the evidence does not indicate that there is substantial demand for self-build. The HEDNA points to broader evidence from the NaCSBA but this is based on </w:t>
      </w:r>
      <w:r w:rsidR="005E526E">
        <w:rPr>
          <w:rFonts w:ascii="Arial" w:hAnsi="Arial" w:cs="Arial"/>
          <w:sz w:val="22"/>
          <w:szCs w:val="22"/>
        </w:rPr>
        <w:t xml:space="preserve">the Right to </w:t>
      </w:r>
      <w:r w:rsidR="0031650F">
        <w:rPr>
          <w:rFonts w:ascii="Arial" w:hAnsi="Arial" w:cs="Arial"/>
          <w:sz w:val="22"/>
          <w:szCs w:val="22"/>
        </w:rPr>
        <w:t>Build</w:t>
      </w:r>
      <w:r w:rsidR="005E526E">
        <w:rPr>
          <w:rFonts w:ascii="Arial" w:hAnsi="Arial" w:cs="Arial"/>
          <w:sz w:val="22"/>
          <w:szCs w:val="22"/>
        </w:rPr>
        <w:t xml:space="preserve"> Register. While this provides</w:t>
      </w:r>
      <w:r w:rsidR="009A3115">
        <w:rPr>
          <w:rFonts w:ascii="Arial" w:hAnsi="Arial" w:cs="Arial"/>
          <w:sz w:val="22"/>
          <w:szCs w:val="22"/>
        </w:rPr>
        <w:t xml:space="preserve"> further evidence it </w:t>
      </w:r>
      <w:r w:rsidR="00D47FA4">
        <w:rPr>
          <w:rFonts w:ascii="Arial" w:hAnsi="Arial" w:cs="Arial"/>
          <w:sz w:val="22"/>
          <w:szCs w:val="22"/>
        </w:rPr>
        <w:t xml:space="preserve">may have </w:t>
      </w:r>
      <w:r w:rsidR="009A3115">
        <w:rPr>
          <w:rFonts w:ascii="Arial" w:hAnsi="Arial" w:cs="Arial"/>
          <w:sz w:val="22"/>
          <w:szCs w:val="22"/>
        </w:rPr>
        <w:t>shortc</w:t>
      </w:r>
      <w:r w:rsidR="000A0412">
        <w:rPr>
          <w:rFonts w:ascii="Arial" w:hAnsi="Arial" w:cs="Arial"/>
          <w:sz w:val="22"/>
          <w:szCs w:val="22"/>
        </w:rPr>
        <w:t>omings</w:t>
      </w:r>
      <w:r w:rsidR="009A3115">
        <w:rPr>
          <w:rFonts w:ascii="Arial" w:hAnsi="Arial" w:cs="Arial"/>
          <w:sz w:val="22"/>
          <w:szCs w:val="22"/>
        </w:rPr>
        <w:t xml:space="preserve"> </w:t>
      </w:r>
      <w:r w:rsidR="0031650F">
        <w:rPr>
          <w:rFonts w:ascii="Arial" w:hAnsi="Arial" w:cs="Arial"/>
          <w:sz w:val="22"/>
          <w:szCs w:val="22"/>
        </w:rPr>
        <w:t xml:space="preserve">in that there is </w:t>
      </w:r>
      <w:r w:rsidR="00D82BC4">
        <w:rPr>
          <w:rFonts w:ascii="Arial" w:hAnsi="Arial" w:cs="Arial"/>
          <w:sz w:val="22"/>
          <w:szCs w:val="22"/>
        </w:rPr>
        <w:t>potential</w:t>
      </w:r>
      <w:r w:rsidR="0031650F">
        <w:rPr>
          <w:rFonts w:ascii="Arial" w:hAnsi="Arial" w:cs="Arial"/>
          <w:sz w:val="22"/>
          <w:szCs w:val="22"/>
        </w:rPr>
        <w:t xml:space="preserve"> for </w:t>
      </w:r>
      <w:r w:rsidR="00D82BC4">
        <w:rPr>
          <w:rFonts w:ascii="Arial" w:hAnsi="Arial" w:cs="Arial"/>
          <w:sz w:val="22"/>
          <w:szCs w:val="22"/>
        </w:rPr>
        <w:t>double</w:t>
      </w:r>
      <w:r w:rsidR="0031650F">
        <w:rPr>
          <w:rFonts w:ascii="Arial" w:hAnsi="Arial" w:cs="Arial"/>
          <w:sz w:val="22"/>
          <w:szCs w:val="22"/>
        </w:rPr>
        <w:t xml:space="preserve"> counting of demand across an area as </w:t>
      </w:r>
      <w:r w:rsidR="00B24A7F">
        <w:rPr>
          <w:rFonts w:ascii="Arial" w:hAnsi="Arial" w:cs="Arial"/>
          <w:sz w:val="22"/>
          <w:szCs w:val="22"/>
        </w:rPr>
        <w:t xml:space="preserve">an </w:t>
      </w:r>
      <w:r w:rsidR="00D82BC4">
        <w:rPr>
          <w:rFonts w:ascii="Arial" w:hAnsi="Arial" w:cs="Arial"/>
          <w:sz w:val="22"/>
          <w:szCs w:val="22"/>
        </w:rPr>
        <w:t>individual</w:t>
      </w:r>
      <w:r w:rsidR="00B24A7F">
        <w:rPr>
          <w:rFonts w:ascii="Arial" w:hAnsi="Arial" w:cs="Arial"/>
          <w:sz w:val="22"/>
          <w:szCs w:val="22"/>
        </w:rPr>
        <w:t xml:space="preserve"> can express an interest in numerous locations</w:t>
      </w:r>
      <w:r w:rsidR="00D82BC4">
        <w:rPr>
          <w:rFonts w:ascii="Arial" w:hAnsi="Arial" w:cs="Arial"/>
          <w:sz w:val="22"/>
          <w:szCs w:val="22"/>
        </w:rPr>
        <w:t xml:space="preserve">. </w:t>
      </w:r>
      <w:r w:rsidR="00D47FA4">
        <w:rPr>
          <w:rFonts w:ascii="Arial" w:hAnsi="Arial" w:cs="Arial"/>
          <w:sz w:val="22"/>
          <w:szCs w:val="22"/>
        </w:rPr>
        <w:t xml:space="preserve">It is not clear from the evidence whether the Council have </w:t>
      </w:r>
      <w:r w:rsidR="005E39E2">
        <w:rPr>
          <w:rFonts w:ascii="Arial" w:hAnsi="Arial" w:cs="Arial"/>
          <w:sz w:val="22"/>
          <w:szCs w:val="22"/>
        </w:rPr>
        <w:t xml:space="preserve">removed any double counting from the evidence where individuals have expressed an interest in all three of the postal </w:t>
      </w:r>
      <w:r w:rsidR="00374781">
        <w:rPr>
          <w:rFonts w:ascii="Arial" w:hAnsi="Arial" w:cs="Arial"/>
          <w:sz w:val="22"/>
          <w:szCs w:val="22"/>
        </w:rPr>
        <w:t>districts</w:t>
      </w:r>
      <w:r w:rsidR="005E39E2">
        <w:rPr>
          <w:rFonts w:ascii="Arial" w:hAnsi="Arial" w:cs="Arial"/>
          <w:sz w:val="22"/>
          <w:szCs w:val="22"/>
        </w:rPr>
        <w:t xml:space="preserve"> highlighted. It is also not clear whether th</w:t>
      </w:r>
      <w:r w:rsidR="002F4215">
        <w:rPr>
          <w:rFonts w:ascii="Arial" w:hAnsi="Arial" w:cs="Arial"/>
          <w:sz w:val="22"/>
          <w:szCs w:val="22"/>
        </w:rPr>
        <w:t xml:space="preserve">e </w:t>
      </w:r>
      <w:r w:rsidR="00374781">
        <w:rPr>
          <w:rFonts w:ascii="Arial" w:hAnsi="Arial" w:cs="Arial"/>
          <w:sz w:val="22"/>
          <w:szCs w:val="22"/>
        </w:rPr>
        <w:t>Council</w:t>
      </w:r>
      <w:r w:rsidR="002F4215">
        <w:rPr>
          <w:rFonts w:ascii="Arial" w:hAnsi="Arial" w:cs="Arial"/>
          <w:sz w:val="22"/>
          <w:szCs w:val="22"/>
        </w:rPr>
        <w:t xml:space="preserve"> have </w:t>
      </w:r>
      <w:r w:rsidR="00374781">
        <w:rPr>
          <w:rFonts w:ascii="Arial" w:hAnsi="Arial" w:cs="Arial"/>
          <w:sz w:val="22"/>
          <w:szCs w:val="22"/>
        </w:rPr>
        <w:t>examined</w:t>
      </w:r>
      <w:r w:rsidR="002F4215">
        <w:rPr>
          <w:rFonts w:ascii="Arial" w:hAnsi="Arial" w:cs="Arial"/>
          <w:sz w:val="22"/>
          <w:szCs w:val="22"/>
        </w:rPr>
        <w:t xml:space="preserve"> whether these induvial have expressed an interest in areas outside of </w:t>
      </w:r>
      <w:r w:rsidR="00374781">
        <w:rPr>
          <w:rFonts w:ascii="Arial" w:hAnsi="Arial" w:cs="Arial"/>
          <w:sz w:val="22"/>
          <w:szCs w:val="22"/>
        </w:rPr>
        <w:t>Chichester</w:t>
      </w:r>
      <w:r w:rsidR="002F4215">
        <w:rPr>
          <w:rFonts w:ascii="Arial" w:hAnsi="Arial" w:cs="Arial"/>
          <w:sz w:val="22"/>
          <w:szCs w:val="22"/>
        </w:rPr>
        <w:t xml:space="preserve">. If </w:t>
      </w:r>
      <w:r w:rsidR="00374781">
        <w:rPr>
          <w:rFonts w:ascii="Arial" w:hAnsi="Arial" w:cs="Arial"/>
          <w:sz w:val="22"/>
          <w:szCs w:val="22"/>
        </w:rPr>
        <w:t>not,</w:t>
      </w:r>
      <w:r w:rsidR="002F4215">
        <w:rPr>
          <w:rFonts w:ascii="Arial" w:hAnsi="Arial" w:cs="Arial"/>
          <w:sz w:val="22"/>
          <w:szCs w:val="22"/>
        </w:rPr>
        <w:t xml:space="preserve"> </w:t>
      </w:r>
      <w:r w:rsidR="00374781">
        <w:rPr>
          <w:rFonts w:ascii="Arial" w:hAnsi="Arial" w:cs="Arial"/>
          <w:sz w:val="22"/>
          <w:szCs w:val="22"/>
        </w:rPr>
        <w:t>there</w:t>
      </w:r>
      <w:r w:rsidR="002F4215">
        <w:rPr>
          <w:rFonts w:ascii="Arial" w:hAnsi="Arial" w:cs="Arial"/>
          <w:sz w:val="22"/>
          <w:szCs w:val="22"/>
        </w:rPr>
        <w:t xml:space="preserve"> is a risk of </w:t>
      </w:r>
      <w:r w:rsidR="00374781">
        <w:rPr>
          <w:rFonts w:ascii="Arial" w:hAnsi="Arial" w:cs="Arial"/>
          <w:sz w:val="22"/>
          <w:szCs w:val="22"/>
        </w:rPr>
        <w:t>numerous</w:t>
      </w:r>
      <w:r w:rsidR="002F4215">
        <w:rPr>
          <w:rFonts w:ascii="Arial" w:hAnsi="Arial" w:cs="Arial"/>
          <w:sz w:val="22"/>
          <w:szCs w:val="22"/>
        </w:rPr>
        <w:t xml:space="preserve"> LPAs </w:t>
      </w:r>
      <w:r w:rsidR="00374781">
        <w:rPr>
          <w:rFonts w:ascii="Arial" w:hAnsi="Arial" w:cs="Arial"/>
          <w:sz w:val="22"/>
          <w:szCs w:val="22"/>
        </w:rPr>
        <w:t>seeking</w:t>
      </w:r>
      <w:r w:rsidR="002F4215">
        <w:rPr>
          <w:rFonts w:ascii="Arial" w:hAnsi="Arial" w:cs="Arial"/>
          <w:sz w:val="22"/>
          <w:szCs w:val="22"/>
        </w:rPr>
        <w:t xml:space="preserve"> to deliver plots for the same individual</w:t>
      </w:r>
      <w:r w:rsidR="00914354">
        <w:rPr>
          <w:rFonts w:ascii="Arial" w:hAnsi="Arial" w:cs="Arial"/>
          <w:sz w:val="22"/>
          <w:szCs w:val="22"/>
        </w:rPr>
        <w:t xml:space="preserve">. </w:t>
      </w:r>
    </w:p>
    <w:p w14:paraId="262CF961" w14:textId="77777777" w:rsidR="00FC194F" w:rsidRDefault="00FC194F" w:rsidP="00F96A66">
      <w:pPr>
        <w:spacing w:line="360" w:lineRule="auto"/>
        <w:jc w:val="both"/>
        <w:rPr>
          <w:rFonts w:ascii="Arial" w:hAnsi="Arial" w:cs="Arial"/>
          <w:sz w:val="22"/>
          <w:szCs w:val="22"/>
        </w:rPr>
      </w:pPr>
    </w:p>
    <w:p w14:paraId="77525A86" w14:textId="76DBCBF8" w:rsidR="00FC194F" w:rsidRDefault="00FC194F" w:rsidP="00F96A66">
      <w:pPr>
        <w:spacing w:line="360" w:lineRule="auto"/>
        <w:jc w:val="both"/>
        <w:rPr>
          <w:rFonts w:ascii="Arial" w:hAnsi="Arial" w:cs="Arial"/>
          <w:sz w:val="22"/>
          <w:szCs w:val="22"/>
        </w:rPr>
      </w:pPr>
      <w:r>
        <w:rPr>
          <w:rFonts w:ascii="Arial" w:hAnsi="Arial" w:cs="Arial"/>
          <w:sz w:val="22"/>
          <w:szCs w:val="22"/>
        </w:rPr>
        <w:t xml:space="preserve">It is also not </w:t>
      </w:r>
      <w:r w:rsidR="00650C3B">
        <w:rPr>
          <w:rFonts w:ascii="Arial" w:hAnsi="Arial" w:cs="Arial"/>
          <w:sz w:val="22"/>
          <w:szCs w:val="22"/>
        </w:rPr>
        <w:t>clear</w:t>
      </w:r>
      <w:r>
        <w:rPr>
          <w:rFonts w:ascii="Arial" w:hAnsi="Arial" w:cs="Arial"/>
          <w:sz w:val="22"/>
          <w:szCs w:val="22"/>
        </w:rPr>
        <w:t xml:space="preserve"> f</w:t>
      </w:r>
      <w:r w:rsidR="00650C3B">
        <w:rPr>
          <w:rFonts w:ascii="Arial" w:hAnsi="Arial" w:cs="Arial"/>
          <w:sz w:val="22"/>
          <w:szCs w:val="22"/>
        </w:rPr>
        <w:t>ro</w:t>
      </w:r>
      <w:r>
        <w:rPr>
          <w:rFonts w:ascii="Arial" w:hAnsi="Arial" w:cs="Arial"/>
          <w:sz w:val="22"/>
          <w:szCs w:val="22"/>
        </w:rPr>
        <w:t>m</w:t>
      </w:r>
      <w:r w:rsidR="00650C3B">
        <w:rPr>
          <w:rFonts w:ascii="Arial" w:hAnsi="Arial" w:cs="Arial"/>
          <w:sz w:val="22"/>
          <w:szCs w:val="22"/>
        </w:rPr>
        <w:t xml:space="preserve"> </w:t>
      </w:r>
      <w:r>
        <w:rPr>
          <w:rFonts w:ascii="Arial" w:hAnsi="Arial" w:cs="Arial"/>
          <w:sz w:val="22"/>
          <w:szCs w:val="22"/>
        </w:rPr>
        <w:t xml:space="preserve">the evidence provided is whether those on the Right to Build register want a plot on major </w:t>
      </w:r>
      <w:r w:rsidR="00650C3B">
        <w:rPr>
          <w:rFonts w:ascii="Arial" w:hAnsi="Arial" w:cs="Arial"/>
          <w:sz w:val="22"/>
          <w:szCs w:val="22"/>
        </w:rPr>
        <w:t xml:space="preserve">development site. </w:t>
      </w:r>
      <w:r w:rsidR="00793017">
        <w:rPr>
          <w:rFonts w:ascii="Arial" w:hAnsi="Arial" w:cs="Arial"/>
          <w:sz w:val="22"/>
          <w:szCs w:val="22"/>
        </w:rPr>
        <w:t>The</w:t>
      </w:r>
      <w:r w:rsidR="00650C3B">
        <w:rPr>
          <w:rFonts w:ascii="Arial" w:hAnsi="Arial" w:cs="Arial"/>
          <w:sz w:val="22"/>
          <w:szCs w:val="22"/>
        </w:rPr>
        <w:t xml:space="preserve"> </w:t>
      </w:r>
      <w:r w:rsidR="00793017">
        <w:rPr>
          <w:rFonts w:ascii="Arial" w:hAnsi="Arial" w:cs="Arial"/>
          <w:sz w:val="22"/>
          <w:szCs w:val="22"/>
        </w:rPr>
        <w:t>register</w:t>
      </w:r>
      <w:r w:rsidR="00650C3B">
        <w:rPr>
          <w:rFonts w:ascii="Arial" w:hAnsi="Arial" w:cs="Arial"/>
          <w:sz w:val="22"/>
          <w:szCs w:val="22"/>
        </w:rPr>
        <w:t xml:space="preserve"> allows for those signing up to register to state a preference as to the type of plot they want. Such information would have been </w:t>
      </w:r>
      <w:r w:rsidR="00793017">
        <w:rPr>
          <w:rFonts w:ascii="Arial" w:hAnsi="Arial" w:cs="Arial"/>
          <w:sz w:val="22"/>
          <w:szCs w:val="22"/>
        </w:rPr>
        <w:t>helpful</w:t>
      </w:r>
      <w:r w:rsidR="00650C3B">
        <w:rPr>
          <w:rFonts w:ascii="Arial" w:hAnsi="Arial" w:cs="Arial"/>
          <w:sz w:val="22"/>
          <w:szCs w:val="22"/>
        </w:rPr>
        <w:t xml:space="preserve"> in </w:t>
      </w:r>
      <w:r w:rsidR="00793017">
        <w:rPr>
          <w:rFonts w:ascii="Arial" w:hAnsi="Arial" w:cs="Arial"/>
          <w:sz w:val="22"/>
          <w:szCs w:val="22"/>
        </w:rPr>
        <w:t>determining</w:t>
      </w:r>
      <w:r w:rsidR="00650C3B">
        <w:rPr>
          <w:rFonts w:ascii="Arial" w:hAnsi="Arial" w:cs="Arial"/>
          <w:sz w:val="22"/>
          <w:szCs w:val="22"/>
        </w:rPr>
        <w:t xml:space="preserve"> the approach the council </w:t>
      </w:r>
      <w:r w:rsidR="00793017">
        <w:rPr>
          <w:rFonts w:ascii="Arial" w:hAnsi="Arial" w:cs="Arial"/>
          <w:sz w:val="22"/>
          <w:szCs w:val="22"/>
        </w:rPr>
        <w:t>should</w:t>
      </w:r>
      <w:r w:rsidR="00650C3B">
        <w:rPr>
          <w:rFonts w:ascii="Arial" w:hAnsi="Arial" w:cs="Arial"/>
          <w:sz w:val="22"/>
          <w:szCs w:val="22"/>
        </w:rPr>
        <w:t xml:space="preserve"> take rather than assuming many of those want to </w:t>
      </w:r>
      <w:r w:rsidR="00793017">
        <w:rPr>
          <w:rFonts w:ascii="Arial" w:hAnsi="Arial" w:cs="Arial"/>
          <w:sz w:val="22"/>
          <w:szCs w:val="22"/>
        </w:rPr>
        <w:t>self-build</w:t>
      </w:r>
      <w:r w:rsidR="00650C3B">
        <w:rPr>
          <w:rFonts w:ascii="Arial" w:hAnsi="Arial" w:cs="Arial"/>
          <w:sz w:val="22"/>
          <w:szCs w:val="22"/>
        </w:rPr>
        <w:t xml:space="preserve"> will want a plot on a </w:t>
      </w:r>
      <w:r w:rsidR="00793017">
        <w:rPr>
          <w:rFonts w:ascii="Arial" w:hAnsi="Arial" w:cs="Arial"/>
          <w:sz w:val="22"/>
          <w:szCs w:val="22"/>
        </w:rPr>
        <w:t xml:space="preserve">strategic house building site. </w:t>
      </w:r>
    </w:p>
    <w:p w14:paraId="4152F232" w14:textId="797D56D9" w:rsidR="002A1423" w:rsidRDefault="002A1423" w:rsidP="00F96A66">
      <w:pPr>
        <w:spacing w:line="360" w:lineRule="auto"/>
        <w:jc w:val="both"/>
        <w:rPr>
          <w:rFonts w:ascii="Arial" w:hAnsi="Arial" w:cs="Arial"/>
          <w:sz w:val="22"/>
          <w:szCs w:val="22"/>
        </w:rPr>
      </w:pPr>
    </w:p>
    <w:p w14:paraId="740DFD63" w14:textId="404298F2" w:rsidR="002A1423" w:rsidRDefault="002A1423" w:rsidP="00F96A66">
      <w:pPr>
        <w:spacing w:line="360" w:lineRule="auto"/>
        <w:jc w:val="both"/>
        <w:rPr>
          <w:rFonts w:ascii="Arial" w:hAnsi="Arial" w:cs="Arial"/>
          <w:sz w:val="22"/>
          <w:szCs w:val="22"/>
        </w:rPr>
      </w:pPr>
      <w:r>
        <w:rPr>
          <w:rFonts w:ascii="Arial" w:hAnsi="Arial" w:cs="Arial"/>
          <w:sz w:val="22"/>
          <w:szCs w:val="22"/>
        </w:rPr>
        <w:t xml:space="preserve">The note goes on to consider the supply of sites </w:t>
      </w:r>
      <w:r w:rsidR="00727D2B">
        <w:rPr>
          <w:rFonts w:ascii="Arial" w:hAnsi="Arial" w:cs="Arial"/>
          <w:sz w:val="22"/>
          <w:szCs w:val="22"/>
        </w:rPr>
        <w:t xml:space="preserve">in the borough stating in paragraph 1.27 that </w:t>
      </w:r>
      <w:r w:rsidR="00D11CF7">
        <w:rPr>
          <w:rFonts w:ascii="Arial" w:hAnsi="Arial" w:cs="Arial"/>
          <w:sz w:val="22"/>
          <w:szCs w:val="22"/>
        </w:rPr>
        <w:t>211 self-build dwellings have been granted permission</w:t>
      </w:r>
      <w:r w:rsidR="001F7ECE">
        <w:rPr>
          <w:rFonts w:ascii="Arial" w:hAnsi="Arial" w:cs="Arial"/>
          <w:sz w:val="22"/>
          <w:szCs w:val="22"/>
        </w:rPr>
        <w:t xml:space="preserve"> and that the market is by and large meeting the needs of self-builders within Chichester</w:t>
      </w:r>
      <w:r w:rsidR="00CA1183">
        <w:rPr>
          <w:rFonts w:ascii="Arial" w:hAnsi="Arial" w:cs="Arial"/>
          <w:sz w:val="22"/>
          <w:szCs w:val="22"/>
        </w:rPr>
        <w:t xml:space="preserve"> as identified by the self-build register</w:t>
      </w:r>
      <w:r w:rsidR="001F7ECE">
        <w:rPr>
          <w:rFonts w:ascii="Arial" w:hAnsi="Arial" w:cs="Arial"/>
          <w:sz w:val="22"/>
          <w:szCs w:val="22"/>
        </w:rPr>
        <w:t>.</w:t>
      </w:r>
      <w:r w:rsidR="00AF6ECD">
        <w:rPr>
          <w:rFonts w:ascii="Arial" w:hAnsi="Arial" w:cs="Arial"/>
          <w:sz w:val="22"/>
          <w:szCs w:val="22"/>
        </w:rPr>
        <w:t xml:space="preserve"> While the council note </w:t>
      </w:r>
      <w:r w:rsidR="00C74C11">
        <w:rPr>
          <w:rFonts w:ascii="Arial" w:hAnsi="Arial" w:cs="Arial"/>
          <w:sz w:val="22"/>
          <w:szCs w:val="22"/>
        </w:rPr>
        <w:t xml:space="preserve">there is a 20 unit back log in the last three years the evidence would suggest that over a plan period the delivery of self-build plots through windfall will meet needs. </w:t>
      </w:r>
    </w:p>
    <w:p w14:paraId="0AB298E5" w14:textId="77777777" w:rsidR="002A1423" w:rsidRDefault="002A1423" w:rsidP="00F96A66">
      <w:pPr>
        <w:spacing w:line="360" w:lineRule="auto"/>
        <w:jc w:val="both"/>
        <w:rPr>
          <w:rFonts w:ascii="Arial" w:hAnsi="Arial" w:cs="Arial"/>
          <w:sz w:val="22"/>
          <w:szCs w:val="22"/>
        </w:rPr>
      </w:pPr>
    </w:p>
    <w:p w14:paraId="6448EC71" w14:textId="5A610BAB" w:rsidR="00085E6D" w:rsidRDefault="00B8774C" w:rsidP="00F96A66">
      <w:pPr>
        <w:spacing w:line="360" w:lineRule="auto"/>
        <w:jc w:val="both"/>
        <w:rPr>
          <w:rFonts w:ascii="Arial" w:hAnsi="Arial" w:cs="Arial"/>
          <w:sz w:val="22"/>
          <w:szCs w:val="22"/>
        </w:rPr>
      </w:pPr>
      <w:r>
        <w:rPr>
          <w:rFonts w:ascii="Arial" w:hAnsi="Arial" w:cs="Arial"/>
          <w:sz w:val="22"/>
          <w:szCs w:val="22"/>
        </w:rPr>
        <w:t xml:space="preserve">In addition, </w:t>
      </w:r>
      <w:r w:rsidR="00EA5500">
        <w:rPr>
          <w:rFonts w:ascii="Arial" w:hAnsi="Arial" w:cs="Arial"/>
          <w:sz w:val="22"/>
          <w:szCs w:val="22"/>
        </w:rPr>
        <w:t>HBF could not find any</w:t>
      </w:r>
      <w:r w:rsidR="00593466">
        <w:rPr>
          <w:rFonts w:ascii="Arial" w:hAnsi="Arial" w:cs="Arial"/>
          <w:sz w:val="22"/>
          <w:szCs w:val="22"/>
        </w:rPr>
        <w:t xml:space="preserve"> evidence as to how many homes will be delivered through this policy</w:t>
      </w:r>
      <w:r w:rsidR="00EA5500">
        <w:rPr>
          <w:rFonts w:ascii="Arial" w:hAnsi="Arial" w:cs="Arial"/>
          <w:sz w:val="22"/>
          <w:szCs w:val="22"/>
        </w:rPr>
        <w:t xml:space="preserve">, alongside windfall delivery, </w:t>
      </w:r>
      <w:r w:rsidR="00593466">
        <w:rPr>
          <w:rFonts w:ascii="Arial" w:hAnsi="Arial" w:cs="Arial"/>
          <w:sz w:val="22"/>
          <w:szCs w:val="22"/>
        </w:rPr>
        <w:t xml:space="preserve">and whether this is reflective of </w:t>
      </w:r>
      <w:r w:rsidR="0005592C">
        <w:rPr>
          <w:rFonts w:ascii="Arial" w:hAnsi="Arial" w:cs="Arial"/>
          <w:sz w:val="22"/>
          <w:szCs w:val="22"/>
        </w:rPr>
        <w:t>the demand</w:t>
      </w:r>
      <w:r w:rsidR="00593466">
        <w:rPr>
          <w:rFonts w:ascii="Arial" w:hAnsi="Arial" w:cs="Arial"/>
          <w:sz w:val="22"/>
          <w:szCs w:val="22"/>
        </w:rPr>
        <w:t xml:space="preserve"> for self-build that is indicated by the register. It is essential that should a percentage be required this is </w:t>
      </w:r>
      <w:r w:rsidR="00EF0E84">
        <w:rPr>
          <w:rFonts w:ascii="Arial" w:hAnsi="Arial" w:cs="Arial"/>
          <w:sz w:val="22"/>
          <w:szCs w:val="22"/>
        </w:rPr>
        <w:t>reasonable</w:t>
      </w:r>
      <w:r w:rsidR="00593466">
        <w:rPr>
          <w:rFonts w:ascii="Arial" w:hAnsi="Arial" w:cs="Arial"/>
          <w:sz w:val="22"/>
          <w:szCs w:val="22"/>
        </w:rPr>
        <w:t xml:space="preserve"> and does not result in an over supply of homes and the </w:t>
      </w:r>
      <w:r w:rsidR="00EF0E84">
        <w:rPr>
          <w:rFonts w:ascii="Arial" w:hAnsi="Arial" w:cs="Arial"/>
          <w:sz w:val="22"/>
          <w:szCs w:val="22"/>
        </w:rPr>
        <w:t xml:space="preserve">need for developers to go back to the council to amend planning conditions relating to self-build provision. </w:t>
      </w:r>
    </w:p>
    <w:p w14:paraId="01760771" w14:textId="77777777" w:rsidR="00337772" w:rsidRDefault="00337772" w:rsidP="00F96A66">
      <w:pPr>
        <w:spacing w:line="360" w:lineRule="auto"/>
        <w:jc w:val="both"/>
        <w:rPr>
          <w:rFonts w:ascii="Arial" w:hAnsi="Arial" w:cs="Arial"/>
          <w:sz w:val="22"/>
          <w:szCs w:val="22"/>
        </w:rPr>
      </w:pPr>
    </w:p>
    <w:p w14:paraId="5D73DDF4" w14:textId="47075DB0" w:rsidR="00337772" w:rsidRDefault="00337772" w:rsidP="00F96A66">
      <w:pPr>
        <w:spacing w:line="360" w:lineRule="auto"/>
        <w:jc w:val="both"/>
        <w:rPr>
          <w:rFonts w:ascii="Arial" w:hAnsi="Arial" w:cs="Arial"/>
          <w:sz w:val="22"/>
          <w:szCs w:val="22"/>
        </w:rPr>
      </w:pPr>
      <w:r>
        <w:rPr>
          <w:rFonts w:ascii="Arial" w:hAnsi="Arial" w:cs="Arial"/>
          <w:sz w:val="22"/>
          <w:szCs w:val="22"/>
        </w:rPr>
        <w:t>Finally</w:t>
      </w:r>
      <w:r w:rsidR="00BF0875">
        <w:rPr>
          <w:rFonts w:ascii="Arial" w:hAnsi="Arial" w:cs="Arial"/>
          <w:sz w:val="22"/>
          <w:szCs w:val="22"/>
        </w:rPr>
        <w:t xml:space="preserve">, as mentioned in our representations </w:t>
      </w:r>
      <w:r>
        <w:rPr>
          <w:rFonts w:ascii="Arial" w:hAnsi="Arial" w:cs="Arial"/>
          <w:sz w:val="22"/>
          <w:szCs w:val="22"/>
        </w:rPr>
        <w:t xml:space="preserve">the Council will need to show that they have </w:t>
      </w:r>
      <w:r w:rsidR="00370834">
        <w:rPr>
          <w:rFonts w:ascii="Arial" w:hAnsi="Arial" w:cs="Arial"/>
          <w:sz w:val="22"/>
          <w:szCs w:val="22"/>
        </w:rPr>
        <w:t xml:space="preserve">considered other approaches to meeting the demand for </w:t>
      </w:r>
      <w:r w:rsidR="00BF0875">
        <w:rPr>
          <w:rFonts w:ascii="Arial" w:hAnsi="Arial" w:cs="Arial"/>
          <w:sz w:val="22"/>
          <w:szCs w:val="22"/>
        </w:rPr>
        <w:t>sell</w:t>
      </w:r>
      <w:r w:rsidR="00370834">
        <w:rPr>
          <w:rFonts w:ascii="Arial" w:hAnsi="Arial" w:cs="Arial"/>
          <w:sz w:val="22"/>
          <w:szCs w:val="22"/>
        </w:rPr>
        <w:t xml:space="preserve"> build homes that are set out in </w:t>
      </w:r>
      <w:r w:rsidR="00BF0875" w:rsidRPr="00BF0875">
        <w:rPr>
          <w:rFonts w:ascii="Arial" w:hAnsi="Arial" w:cs="Arial"/>
          <w:sz w:val="22"/>
          <w:szCs w:val="22"/>
        </w:rPr>
        <w:t xml:space="preserve">paragraph 57-025 of PPG. In particular the Council should </w:t>
      </w:r>
      <w:r w:rsidR="00BF0875">
        <w:rPr>
          <w:rFonts w:ascii="Arial" w:hAnsi="Arial" w:cs="Arial"/>
          <w:sz w:val="22"/>
          <w:szCs w:val="22"/>
        </w:rPr>
        <w:t xml:space="preserve">have </w:t>
      </w:r>
      <w:r w:rsidR="00BF0875" w:rsidRPr="00BF0875">
        <w:rPr>
          <w:rFonts w:ascii="Arial" w:hAnsi="Arial" w:cs="Arial"/>
          <w:sz w:val="22"/>
          <w:szCs w:val="22"/>
        </w:rPr>
        <w:t>examine</w:t>
      </w:r>
      <w:r w:rsidR="00C0188E">
        <w:rPr>
          <w:rFonts w:ascii="Arial" w:hAnsi="Arial" w:cs="Arial"/>
          <w:sz w:val="22"/>
          <w:szCs w:val="22"/>
        </w:rPr>
        <w:t>d</w:t>
      </w:r>
      <w:r w:rsidR="00BF0875" w:rsidRPr="00BF0875">
        <w:rPr>
          <w:rFonts w:ascii="Arial" w:hAnsi="Arial" w:cs="Arial"/>
          <w:sz w:val="22"/>
          <w:szCs w:val="22"/>
        </w:rPr>
        <w:t xml:space="preserve"> whether there are opportunities to meet the demand for self-build plots through the disposal of its own sites or by working with landowners to bring forward specific sites that will be able to provide plots.</w:t>
      </w:r>
    </w:p>
    <w:p w14:paraId="3053ECE4" w14:textId="77777777" w:rsidR="008B2B17" w:rsidRDefault="008B2B17" w:rsidP="00F96A66">
      <w:pPr>
        <w:spacing w:line="360" w:lineRule="auto"/>
        <w:jc w:val="both"/>
        <w:rPr>
          <w:rFonts w:ascii="Arial" w:hAnsi="Arial" w:cs="Arial"/>
          <w:sz w:val="22"/>
          <w:szCs w:val="22"/>
        </w:rPr>
      </w:pPr>
    </w:p>
    <w:p w14:paraId="43DF4178" w14:textId="4877A078" w:rsidR="008B2B17" w:rsidRPr="004519F6" w:rsidRDefault="008B2B17" w:rsidP="00F96A66">
      <w:pPr>
        <w:spacing w:line="360" w:lineRule="auto"/>
        <w:jc w:val="both"/>
        <w:rPr>
          <w:rFonts w:ascii="Arial" w:hAnsi="Arial" w:cs="Arial"/>
          <w:i/>
          <w:iCs/>
          <w:sz w:val="22"/>
          <w:szCs w:val="22"/>
          <w:u w:val="single"/>
        </w:rPr>
      </w:pPr>
      <w:r w:rsidRPr="004519F6">
        <w:rPr>
          <w:rFonts w:ascii="Arial" w:hAnsi="Arial" w:cs="Arial"/>
          <w:i/>
          <w:iCs/>
          <w:sz w:val="22"/>
          <w:szCs w:val="22"/>
          <w:u w:val="single"/>
        </w:rPr>
        <w:t>Q.80 Should the definition of self-build plots be set out in the Plan for effectiveness?</w:t>
      </w:r>
    </w:p>
    <w:p w14:paraId="1A00D916" w14:textId="77777777" w:rsidR="008B2B17" w:rsidRDefault="008B2B17" w:rsidP="00F96A66">
      <w:pPr>
        <w:spacing w:line="360" w:lineRule="auto"/>
        <w:jc w:val="both"/>
        <w:rPr>
          <w:rFonts w:ascii="Arial" w:hAnsi="Arial" w:cs="Arial"/>
          <w:sz w:val="22"/>
          <w:szCs w:val="22"/>
        </w:rPr>
      </w:pPr>
    </w:p>
    <w:p w14:paraId="5C143BBC" w14:textId="762360AC" w:rsidR="00E10AB1" w:rsidRDefault="00E10AB1" w:rsidP="00F96A66">
      <w:pPr>
        <w:spacing w:line="360" w:lineRule="auto"/>
        <w:jc w:val="both"/>
        <w:rPr>
          <w:rFonts w:ascii="Arial" w:hAnsi="Arial" w:cs="Arial"/>
          <w:sz w:val="22"/>
          <w:szCs w:val="22"/>
        </w:rPr>
      </w:pPr>
      <w:r>
        <w:rPr>
          <w:rFonts w:ascii="Arial" w:hAnsi="Arial" w:cs="Arial"/>
          <w:sz w:val="22"/>
          <w:szCs w:val="22"/>
        </w:rPr>
        <w:t>No comment.</w:t>
      </w:r>
    </w:p>
    <w:p w14:paraId="3B58606A" w14:textId="77777777" w:rsidR="008B2B17" w:rsidRDefault="008B2B17" w:rsidP="00F96A66">
      <w:pPr>
        <w:spacing w:line="360" w:lineRule="auto"/>
        <w:jc w:val="both"/>
        <w:rPr>
          <w:rFonts w:ascii="Arial" w:hAnsi="Arial" w:cs="Arial"/>
          <w:sz w:val="22"/>
          <w:szCs w:val="22"/>
        </w:rPr>
      </w:pPr>
    </w:p>
    <w:p w14:paraId="3538CBA6" w14:textId="12860AC8" w:rsidR="00497C24" w:rsidRPr="004519F6" w:rsidRDefault="008B2B17" w:rsidP="00F96A66">
      <w:pPr>
        <w:spacing w:line="360" w:lineRule="auto"/>
        <w:jc w:val="both"/>
        <w:rPr>
          <w:rFonts w:ascii="Arial" w:hAnsi="Arial" w:cs="Arial"/>
          <w:i/>
          <w:iCs/>
          <w:sz w:val="22"/>
          <w:szCs w:val="22"/>
          <w:u w:val="single"/>
        </w:rPr>
      </w:pPr>
      <w:r w:rsidRPr="004519F6">
        <w:rPr>
          <w:rFonts w:ascii="Arial" w:hAnsi="Arial" w:cs="Arial"/>
          <w:i/>
          <w:iCs/>
          <w:sz w:val="22"/>
          <w:szCs w:val="22"/>
          <w:u w:val="single"/>
        </w:rPr>
        <w:t>Q.81 Are the suggested MMs necessary for soundness?</w:t>
      </w:r>
    </w:p>
    <w:p w14:paraId="39922363" w14:textId="77777777" w:rsidR="00497C24" w:rsidRDefault="00497C24" w:rsidP="00F96A66">
      <w:pPr>
        <w:spacing w:line="360" w:lineRule="auto"/>
        <w:jc w:val="both"/>
        <w:rPr>
          <w:rFonts w:ascii="Arial" w:hAnsi="Arial" w:cs="Arial"/>
          <w:sz w:val="22"/>
          <w:szCs w:val="22"/>
        </w:rPr>
      </w:pPr>
    </w:p>
    <w:p w14:paraId="38CEC51E" w14:textId="51DFFAC8" w:rsidR="00E10AB1" w:rsidRDefault="00B8774C" w:rsidP="00F96A66">
      <w:pPr>
        <w:spacing w:line="360" w:lineRule="auto"/>
        <w:jc w:val="both"/>
        <w:rPr>
          <w:rFonts w:ascii="Arial" w:hAnsi="Arial" w:cs="Arial"/>
          <w:sz w:val="22"/>
          <w:szCs w:val="22"/>
        </w:rPr>
      </w:pPr>
      <w:r>
        <w:rPr>
          <w:rFonts w:ascii="Arial" w:hAnsi="Arial" w:cs="Arial"/>
          <w:sz w:val="22"/>
          <w:szCs w:val="22"/>
        </w:rPr>
        <w:t xml:space="preserve">HBF do not support </w:t>
      </w:r>
      <w:r w:rsidR="00EA4B5C">
        <w:rPr>
          <w:rFonts w:ascii="Arial" w:hAnsi="Arial" w:cs="Arial"/>
          <w:sz w:val="22"/>
          <w:szCs w:val="22"/>
        </w:rPr>
        <w:t>the</w:t>
      </w:r>
      <w:r>
        <w:rPr>
          <w:rFonts w:ascii="Arial" w:hAnsi="Arial" w:cs="Arial"/>
          <w:sz w:val="22"/>
          <w:szCs w:val="22"/>
        </w:rPr>
        <w:t xml:space="preserve"> </w:t>
      </w:r>
      <w:r w:rsidR="00EA4B5C">
        <w:rPr>
          <w:rFonts w:ascii="Arial" w:hAnsi="Arial" w:cs="Arial"/>
          <w:sz w:val="22"/>
          <w:szCs w:val="22"/>
        </w:rPr>
        <w:t>proposed</w:t>
      </w:r>
      <w:r>
        <w:rPr>
          <w:rFonts w:ascii="Arial" w:hAnsi="Arial" w:cs="Arial"/>
          <w:sz w:val="22"/>
          <w:szCs w:val="22"/>
        </w:rPr>
        <w:t xml:space="preserve"> </w:t>
      </w:r>
      <w:r w:rsidR="00EA4B5C">
        <w:rPr>
          <w:rFonts w:ascii="Arial" w:hAnsi="Arial" w:cs="Arial"/>
          <w:sz w:val="22"/>
          <w:szCs w:val="22"/>
        </w:rPr>
        <w:t>modification</w:t>
      </w:r>
      <w:r>
        <w:rPr>
          <w:rFonts w:ascii="Arial" w:hAnsi="Arial" w:cs="Arial"/>
          <w:sz w:val="22"/>
          <w:szCs w:val="22"/>
        </w:rPr>
        <w:t xml:space="preserve"> in </w:t>
      </w:r>
      <w:r w:rsidR="00EA4B5C">
        <w:rPr>
          <w:rFonts w:ascii="Arial" w:hAnsi="Arial" w:cs="Arial"/>
          <w:sz w:val="22"/>
          <w:szCs w:val="22"/>
        </w:rPr>
        <w:t>particular</w:t>
      </w:r>
      <w:r>
        <w:rPr>
          <w:rFonts w:ascii="Arial" w:hAnsi="Arial" w:cs="Arial"/>
          <w:sz w:val="22"/>
          <w:szCs w:val="22"/>
        </w:rPr>
        <w:t xml:space="preserve"> the increase in </w:t>
      </w:r>
      <w:r w:rsidR="00EA4B5C">
        <w:rPr>
          <w:rFonts w:ascii="Arial" w:hAnsi="Arial" w:cs="Arial"/>
          <w:sz w:val="22"/>
          <w:szCs w:val="22"/>
        </w:rPr>
        <w:t xml:space="preserve">the requirement on strategic sites from 2% to 5%. </w:t>
      </w:r>
    </w:p>
    <w:p w14:paraId="3E7B3E6A" w14:textId="77777777" w:rsidR="00E10AB1" w:rsidRDefault="00E10AB1" w:rsidP="00F96A66">
      <w:pPr>
        <w:spacing w:line="360" w:lineRule="auto"/>
        <w:jc w:val="both"/>
        <w:rPr>
          <w:rFonts w:ascii="Arial" w:hAnsi="Arial" w:cs="Arial"/>
          <w:sz w:val="22"/>
          <w:szCs w:val="22"/>
        </w:rPr>
      </w:pPr>
    </w:p>
    <w:p w14:paraId="2888CCA2" w14:textId="77777777" w:rsidR="008367BD" w:rsidRPr="008367BD" w:rsidRDefault="008367BD" w:rsidP="00F96A66">
      <w:pPr>
        <w:spacing w:line="360" w:lineRule="auto"/>
        <w:jc w:val="both"/>
        <w:rPr>
          <w:rFonts w:ascii="Arial" w:hAnsi="Arial" w:cs="Arial"/>
          <w:b/>
          <w:bCs/>
          <w:sz w:val="22"/>
          <w:szCs w:val="22"/>
        </w:rPr>
      </w:pPr>
      <w:r w:rsidRPr="008367BD">
        <w:rPr>
          <w:rFonts w:ascii="Arial" w:hAnsi="Arial" w:cs="Arial"/>
          <w:b/>
          <w:bCs/>
          <w:sz w:val="22"/>
          <w:szCs w:val="22"/>
        </w:rPr>
        <w:t>Policy H8 Specialist accommodation for older people and those with specialised needs</w:t>
      </w:r>
    </w:p>
    <w:p w14:paraId="7BB54BFD" w14:textId="77777777" w:rsidR="005508A0" w:rsidRDefault="005508A0" w:rsidP="00F96A66">
      <w:pPr>
        <w:spacing w:line="360" w:lineRule="auto"/>
        <w:jc w:val="both"/>
        <w:rPr>
          <w:rFonts w:ascii="Arial" w:hAnsi="Arial" w:cs="Arial"/>
          <w:sz w:val="22"/>
          <w:szCs w:val="22"/>
        </w:rPr>
      </w:pPr>
    </w:p>
    <w:p w14:paraId="231F3D11" w14:textId="203DBE2B" w:rsidR="008367BD" w:rsidRPr="004519F6" w:rsidRDefault="008367BD" w:rsidP="00F96A66">
      <w:pPr>
        <w:spacing w:line="360" w:lineRule="auto"/>
        <w:jc w:val="both"/>
        <w:rPr>
          <w:rFonts w:ascii="Arial" w:hAnsi="Arial" w:cs="Arial"/>
          <w:i/>
          <w:iCs/>
          <w:sz w:val="22"/>
          <w:szCs w:val="22"/>
          <w:u w:val="single"/>
        </w:rPr>
      </w:pPr>
      <w:r w:rsidRPr="004519F6">
        <w:rPr>
          <w:rFonts w:ascii="Arial" w:hAnsi="Arial" w:cs="Arial"/>
          <w:i/>
          <w:iCs/>
          <w:sz w:val="22"/>
          <w:szCs w:val="22"/>
          <w:u w:val="single"/>
        </w:rPr>
        <w:t>Q.84 What is the justification for the 200 unit threshold in Policy H8 and would it be effective?</w:t>
      </w:r>
    </w:p>
    <w:p w14:paraId="68C86DCB" w14:textId="77777777" w:rsidR="008367BD" w:rsidRDefault="008367BD" w:rsidP="00F96A66">
      <w:pPr>
        <w:spacing w:line="360" w:lineRule="auto"/>
        <w:jc w:val="both"/>
        <w:rPr>
          <w:rFonts w:ascii="Arial" w:hAnsi="Arial" w:cs="Arial"/>
          <w:sz w:val="22"/>
          <w:szCs w:val="22"/>
        </w:rPr>
      </w:pPr>
    </w:p>
    <w:p w14:paraId="64CB11CB" w14:textId="0C1C3C9B" w:rsidR="008367BD" w:rsidRPr="008367BD" w:rsidRDefault="00665DE9" w:rsidP="00F96A66">
      <w:pPr>
        <w:spacing w:line="360" w:lineRule="auto"/>
        <w:jc w:val="both"/>
        <w:rPr>
          <w:rFonts w:ascii="Arial" w:hAnsi="Arial" w:cs="Arial"/>
          <w:sz w:val="22"/>
          <w:szCs w:val="22"/>
        </w:rPr>
      </w:pPr>
      <w:r>
        <w:rPr>
          <w:rFonts w:ascii="Arial" w:hAnsi="Arial" w:cs="Arial"/>
          <w:sz w:val="22"/>
          <w:szCs w:val="22"/>
        </w:rPr>
        <w:t>For Council.</w:t>
      </w:r>
    </w:p>
    <w:p w14:paraId="774B6E93" w14:textId="77777777" w:rsidR="005508A0" w:rsidRDefault="005508A0" w:rsidP="00F96A66">
      <w:pPr>
        <w:spacing w:line="360" w:lineRule="auto"/>
        <w:jc w:val="both"/>
        <w:rPr>
          <w:rFonts w:ascii="Arial" w:hAnsi="Arial" w:cs="Arial"/>
          <w:sz w:val="22"/>
          <w:szCs w:val="22"/>
        </w:rPr>
      </w:pPr>
    </w:p>
    <w:p w14:paraId="00768355" w14:textId="753116FA" w:rsidR="008367BD" w:rsidRPr="004519F6" w:rsidRDefault="008367BD" w:rsidP="00F96A66">
      <w:pPr>
        <w:spacing w:line="360" w:lineRule="auto"/>
        <w:jc w:val="both"/>
        <w:rPr>
          <w:rFonts w:ascii="Arial" w:hAnsi="Arial" w:cs="Arial"/>
          <w:i/>
          <w:iCs/>
          <w:sz w:val="22"/>
          <w:szCs w:val="22"/>
          <w:u w:val="single"/>
        </w:rPr>
      </w:pPr>
      <w:r w:rsidRPr="004519F6">
        <w:rPr>
          <w:rFonts w:ascii="Arial" w:hAnsi="Arial" w:cs="Arial"/>
          <w:i/>
          <w:iCs/>
          <w:sz w:val="22"/>
          <w:szCs w:val="22"/>
          <w:u w:val="single"/>
        </w:rPr>
        <w:t>Q.85 Would the Policy/Plan be effective in addressing the housing needs of different groups given that no indication is given of assessed need?</w:t>
      </w:r>
    </w:p>
    <w:p w14:paraId="78E9DB66" w14:textId="77777777" w:rsidR="008367BD" w:rsidRPr="004519F6" w:rsidRDefault="008367BD" w:rsidP="00F96A66">
      <w:pPr>
        <w:spacing w:line="360" w:lineRule="auto"/>
        <w:jc w:val="both"/>
        <w:rPr>
          <w:rFonts w:ascii="Arial" w:hAnsi="Arial" w:cs="Arial"/>
          <w:i/>
          <w:iCs/>
          <w:sz w:val="22"/>
          <w:szCs w:val="22"/>
          <w:u w:val="single"/>
        </w:rPr>
      </w:pPr>
    </w:p>
    <w:p w14:paraId="5931D93A" w14:textId="144F29A9" w:rsidR="008367BD" w:rsidRPr="008367BD" w:rsidRDefault="00294752" w:rsidP="00F96A66">
      <w:pPr>
        <w:spacing w:line="360" w:lineRule="auto"/>
        <w:jc w:val="both"/>
        <w:rPr>
          <w:rFonts w:ascii="Arial" w:hAnsi="Arial" w:cs="Arial"/>
          <w:sz w:val="22"/>
          <w:szCs w:val="22"/>
        </w:rPr>
      </w:pPr>
      <w:r>
        <w:rPr>
          <w:rFonts w:ascii="Arial" w:hAnsi="Arial" w:cs="Arial"/>
          <w:sz w:val="22"/>
          <w:szCs w:val="22"/>
        </w:rPr>
        <w:t xml:space="preserve">No. </w:t>
      </w:r>
      <w:r w:rsidRPr="00294752">
        <w:rPr>
          <w:rFonts w:ascii="Arial" w:hAnsi="Arial" w:cs="Arial"/>
          <w:sz w:val="22"/>
          <w:szCs w:val="22"/>
        </w:rPr>
        <w:t>Whil</w:t>
      </w:r>
      <w:r>
        <w:rPr>
          <w:rFonts w:ascii="Arial" w:hAnsi="Arial" w:cs="Arial"/>
          <w:sz w:val="22"/>
          <w:szCs w:val="22"/>
        </w:rPr>
        <w:t>e</w:t>
      </w:r>
      <w:r w:rsidRPr="00294752">
        <w:rPr>
          <w:rFonts w:ascii="Arial" w:hAnsi="Arial" w:cs="Arial"/>
          <w:sz w:val="22"/>
          <w:szCs w:val="22"/>
        </w:rPr>
        <w:t xml:space="preserve"> there is no direct requirement to do so in national policy the HBF would argue that in order for the policy to be effective it needs to be clear as to what is required and how a decision maker should react to ensure those needs are met. By including the level of need in the policy or supporting text, as it has in relation to student accommodation, greater weight will be given to this in decision making, leading to the more positive approach that is required to meet housing the needs of older people.</w:t>
      </w:r>
    </w:p>
    <w:p w14:paraId="4F82DCCB" w14:textId="77777777" w:rsidR="0042406E" w:rsidRDefault="0042406E" w:rsidP="00F96A66">
      <w:pPr>
        <w:spacing w:line="360" w:lineRule="auto"/>
        <w:jc w:val="both"/>
        <w:rPr>
          <w:rFonts w:ascii="Arial" w:hAnsi="Arial" w:cs="Arial"/>
          <w:sz w:val="22"/>
          <w:szCs w:val="22"/>
        </w:rPr>
      </w:pPr>
    </w:p>
    <w:p w14:paraId="702F843A" w14:textId="066FB251" w:rsidR="0042406E" w:rsidRPr="007746A7" w:rsidRDefault="007746A7" w:rsidP="00F96A66">
      <w:pPr>
        <w:spacing w:line="360" w:lineRule="auto"/>
        <w:jc w:val="both"/>
        <w:rPr>
          <w:rFonts w:ascii="Arial" w:hAnsi="Arial" w:cs="Arial"/>
          <w:b/>
          <w:bCs/>
          <w:sz w:val="22"/>
          <w:szCs w:val="22"/>
        </w:rPr>
      </w:pPr>
      <w:r w:rsidRPr="007746A7">
        <w:rPr>
          <w:rFonts w:ascii="Arial" w:hAnsi="Arial" w:cs="Arial"/>
          <w:b/>
          <w:bCs/>
          <w:sz w:val="22"/>
          <w:szCs w:val="22"/>
        </w:rPr>
        <w:t>Matter 5: Other policies</w:t>
      </w:r>
    </w:p>
    <w:p w14:paraId="3F9C5A9D" w14:textId="77777777" w:rsidR="008367BD" w:rsidRDefault="008367BD" w:rsidP="00F96A66">
      <w:pPr>
        <w:spacing w:line="360" w:lineRule="auto"/>
        <w:jc w:val="both"/>
        <w:rPr>
          <w:rFonts w:ascii="Arial" w:hAnsi="Arial" w:cs="Arial"/>
          <w:sz w:val="22"/>
          <w:szCs w:val="22"/>
        </w:rPr>
      </w:pPr>
    </w:p>
    <w:p w14:paraId="2EAB6E07" w14:textId="77777777" w:rsidR="00783F76" w:rsidRPr="00783F76" w:rsidRDefault="00783F76" w:rsidP="00F96A66">
      <w:pPr>
        <w:spacing w:line="360" w:lineRule="auto"/>
        <w:jc w:val="both"/>
        <w:rPr>
          <w:rFonts w:ascii="Arial" w:hAnsi="Arial" w:cs="Arial"/>
          <w:b/>
          <w:bCs/>
          <w:sz w:val="22"/>
          <w:szCs w:val="22"/>
        </w:rPr>
      </w:pPr>
      <w:r w:rsidRPr="00783F76">
        <w:rPr>
          <w:rFonts w:ascii="Arial" w:hAnsi="Arial" w:cs="Arial"/>
          <w:b/>
          <w:bCs/>
          <w:sz w:val="22"/>
          <w:szCs w:val="22"/>
        </w:rPr>
        <w:t>Policy NE5 Biodiversity and Biodiversity Net Gain</w:t>
      </w:r>
    </w:p>
    <w:p w14:paraId="79263B33" w14:textId="77777777" w:rsidR="00783F76" w:rsidRDefault="00783F76" w:rsidP="00F96A66">
      <w:pPr>
        <w:spacing w:line="360" w:lineRule="auto"/>
        <w:jc w:val="both"/>
        <w:rPr>
          <w:rFonts w:ascii="Arial" w:hAnsi="Arial" w:cs="Arial"/>
          <w:sz w:val="22"/>
          <w:szCs w:val="22"/>
        </w:rPr>
      </w:pPr>
    </w:p>
    <w:p w14:paraId="01A8CB87" w14:textId="6AA93A16" w:rsidR="00783F76" w:rsidRPr="00783F76" w:rsidRDefault="00783F76" w:rsidP="00F96A66">
      <w:pPr>
        <w:spacing w:line="360" w:lineRule="auto"/>
        <w:jc w:val="both"/>
        <w:rPr>
          <w:rFonts w:ascii="Arial" w:hAnsi="Arial" w:cs="Arial"/>
          <w:i/>
          <w:iCs/>
          <w:sz w:val="22"/>
          <w:szCs w:val="22"/>
          <w:u w:val="single"/>
        </w:rPr>
      </w:pPr>
      <w:r w:rsidRPr="00783F76">
        <w:rPr>
          <w:rFonts w:ascii="Arial" w:hAnsi="Arial" w:cs="Arial"/>
          <w:i/>
          <w:iCs/>
          <w:sz w:val="22"/>
          <w:szCs w:val="22"/>
          <w:u w:val="single"/>
        </w:rPr>
        <w:t>Q.122 Is footnote 19 necessary for effectiveness? Is this a matter more properly dealt with in the explanatory text?</w:t>
      </w:r>
    </w:p>
    <w:p w14:paraId="5EAADC16" w14:textId="77777777" w:rsidR="00783F76" w:rsidRDefault="00783F76" w:rsidP="00F96A66">
      <w:pPr>
        <w:spacing w:line="360" w:lineRule="auto"/>
        <w:jc w:val="both"/>
        <w:rPr>
          <w:rFonts w:ascii="Arial" w:hAnsi="Arial" w:cs="Arial"/>
          <w:sz w:val="22"/>
          <w:szCs w:val="22"/>
        </w:rPr>
      </w:pPr>
    </w:p>
    <w:p w14:paraId="4C438D97" w14:textId="044686E4" w:rsidR="00E63E48" w:rsidRDefault="00CE0033" w:rsidP="00F96A66">
      <w:pPr>
        <w:spacing w:line="360" w:lineRule="auto"/>
        <w:jc w:val="both"/>
        <w:rPr>
          <w:rFonts w:ascii="Arial" w:hAnsi="Arial" w:cs="Arial"/>
          <w:sz w:val="22"/>
          <w:szCs w:val="22"/>
        </w:rPr>
      </w:pPr>
      <w:r>
        <w:rPr>
          <w:rFonts w:ascii="Arial" w:hAnsi="Arial" w:cs="Arial"/>
          <w:sz w:val="22"/>
          <w:szCs w:val="22"/>
        </w:rPr>
        <w:t>No comment</w:t>
      </w:r>
    </w:p>
    <w:p w14:paraId="2AEAE3C9" w14:textId="77777777" w:rsidR="007E3517" w:rsidRDefault="007E3517" w:rsidP="00F96A66">
      <w:pPr>
        <w:spacing w:line="360" w:lineRule="auto"/>
        <w:jc w:val="both"/>
        <w:rPr>
          <w:rFonts w:ascii="Arial" w:hAnsi="Arial" w:cs="Arial"/>
          <w:sz w:val="22"/>
          <w:szCs w:val="22"/>
        </w:rPr>
      </w:pPr>
    </w:p>
    <w:p w14:paraId="746F3716" w14:textId="2486B3C2" w:rsidR="007746A7" w:rsidRPr="00783F76" w:rsidRDefault="00783F76" w:rsidP="00F96A66">
      <w:pPr>
        <w:spacing w:line="360" w:lineRule="auto"/>
        <w:jc w:val="both"/>
        <w:rPr>
          <w:rFonts w:ascii="Arial" w:hAnsi="Arial" w:cs="Arial"/>
          <w:i/>
          <w:iCs/>
          <w:sz w:val="22"/>
          <w:szCs w:val="22"/>
          <w:u w:val="single"/>
        </w:rPr>
      </w:pPr>
      <w:r w:rsidRPr="00783F76">
        <w:rPr>
          <w:rFonts w:ascii="Arial" w:hAnsi="Arial" w:cs="Arial"/>
          <w:i/>
          <w:iCs/>
          <w:sz w:val="22"/>
          <w:szCs w:val="22"/>
          <w:u w:val="single"/>
        </w:rPr>
        <w:t>Q.123 Are the suggested MMs necessary for soundness?</w:t>
      </w:r>
    </w:p>
    <w:p w14:paraId="6C770C6D" w14:textId="77777777" w:rsidR="007746A7" w:rsidRDefault="007746A7" w:rsidP="00F96A66">
      <w:pPr>
        <w:spacing w:line="360" w:lineRule="auto"/>
        <w:jc w:val="both"/>
        <w:rPr>
          <w:rFonts w:ascii="Arial" w:hAnsi="Arial" w:cs="Arial"/>
          <w:sz w:val="22"/>
          <w:szCs w:val="22"/>
        </w:rPr>
      </w:pPr>
    </w:p>
    <w:p w14:paraId="6D2567A0" w14:textId="2A6FE0BF" w:rsidR="00E52118" w:rsidRDefault="00E52118" w:rsidP="00F96A66">
      <w:pPr>
        <w:spacing w:line="360" w:lineRule="auto"/>
        <w:jc w:val="both"/>
        <w:rPr>
          <w:rFonts w:ascii="Arial" w:hAnsi="Arial" w:cs="Arial"/>
          <w:sz w:val="22"/>
          <w:szCs w:val="22"/>
        </w:rPr>
      </w:pPr>
      <w:r>
        <w:rPr>
          <w:rFonts w:ascii="Arial" w:hAnsi="Arial" w:cs="Arial"/>
          <w:sz w:val="22"/>
          <w:szCs w:val="22"/>
        </w:rPr>
        <w:t xml:space="preserve">Proposed modification CM073 is </w:t>
      </w:r>
      <w:r w:rsidR="002238F3">
        <w:rPr>
          <w:rFonts w:ascii="Arial" w:hAnsi="Arial" w:cs="Arial"/>
          <w:sz w:val="22"/>
          <w:szCs w:val="22"/>
        </w:rPr>
        <w:t xml:space="preserve">necessary but overly restrictive as to the </w:t>
      </w:r>
      <w:r w:rsidR="002E5455">
        <w:rPr>
          <w:rFonts w:ascii="Arial" w:hAnsi="Arial" w:cs="Arial"/>
          <w:sz w:val="22"/>
          <w:szCs w:val="22"/>
        </w:rPr>
        <w:t xml:space="preserve">delivery </w:t>
      </w:r>
      <w:r w:rsidR="002238F3">
        <w:rPr>
          <w:rFonts w:ascii="Arial" w:hAnsi="Arial" w:cs="Arial"/>
          <w:sz w:val="22"/>
          <w:szCs w:val="22"/>
        </w:rPr>
        <w:t xml:space="preserve">of offsite </w:t>
      </w:r>
      <w:r w:rsidR="002E5455">
        <w:rPr>
          <w:rFonts w:ascii="Arial" w:hAnsi="Arial" w:cs="Arial"/>
          <w:sz w:val="22"/>
          <w:szCs w:val="22"/>
        </w:rPr>
        <w:t xml:space="preserve">mitigation outside of the Borough. </w:t>
      </w:r>
      <w:r w:rsidR="00C26E59">
        <w:rPr>
          <w:rFonts w:ascii="Arial" w:hAnsi="Arial" w:cs="Arial"/>
          <w:sz w:val="22"/>
          <w:szCs w:val="22"/>
        </w:rPr>
        <w:t>Offsite provision</w:t>
      </w:r>
      <w:r w:rsidR="005320A9">
        <w:rPr>
          <w:rFonts w:ascii="Arial" w:hAnsi="Arial" w:cs="Arial"/>
          <w:sz w:val="22"/>
          <w:szCs w:val="22"/>
        </w:rPr>
        <w:t xml:space="preserve"> does not have </w:t>
      </w:r>
      <w:r w:rsidR="00C26E59">
        <w:rPr>
          <w:rFonts w:ascii="Arial" w:hAnsi="Arial" w:cs="Arial"/>
          <w:sz w:val="22"/>
          <w:szCs w:val="22"/>
        </w:rPr>
        <w:t>to</w:t>
      </w:r>
      <w:r w:rsidR="005320A9">
        <w:rPr>
          <w:rFonts w:ascii="Arial" w:hAnsi="Arial" w:cs="Arial"/>
          <w:sz w:val="22"/>
          <w:szCs w:val="22"/>
        </w:rPr>
        <w:t xml:space="preserve"> be in an area of strategic sig</w:t>
      </w:r>
      <w:r w:rsidR="0099375E">
        <w:rPr>
          <w:rFonts w:ascii="Arial" w:hAnsi="Arial" w:cs="Arial"/>
          <w:sz w:val="22"/>
          <w:szCs w:val="22"/>
        </w:rPr>
        <w:t>nificance</w:t>
      </w:r>
      <w:r w:rsidR="005320A9">
        <w:rPr>
          <w:rFonts w:ascii="Arial" w:hAnsi="Arial" w:cs="Arial"/>
          <w:sz w:val="22"/>
          <w:szCs w:val="22"/>
        </w:rPr>
        <w:t xml:space="preserve"> </w:t>
      </w:r>
      <w:r w:rsidR="00C26E59">
        <w:rPr>
          <w:rFonts w:ascii="Arial" w:hAnsi="Arial" w:cs="Arial"/>
          <w:sz w:val="22"/>
          <w:szCs w:val="22"/>
        </w:rPr>
        <w:t>identified</w:t>
      </w:r>
      <w:r w:rsidR="005320A9">
        <w:rPr>
          <w:rFonts w:ascii="Arial" w:hAnsi="Arial" w:cs="Arial"/>
          <w:sz w:val="22"/>
          <w:szCs w:val="22"/>
        </w:rPr>
        <w:t xml:space="preserve"> by </w:t>
      </w:r>
      <w:r w:rsidR="0099375E">
        <w:rPr>
          <w:rFonts w:ascii="Arial" w:hAnsi="Arial" w:cs="Arial"/>
          <w:sz w:val="22"/>
          <w:szCs w:val="22"/>
        </w:rPr>
        <w:t>the LNRS</w:t>
      </w:r>
      <w:r w:rsidR="00A8299B">
        <w:rPr>
          <w:rFonts w:ascii="Arial" w:hAnsi="Arial" w:cs="Arial"/>
          <w:sz w:val="22"/>
          <w:szCs w:val="22"/>
        </w:rPr>
        <w:t xml:space="preserve"> with </w:t>
      </w:r>
      <w:r w:rsidR="00C26E59">
        <w:rPr>
          <w:rFonts w:ascii="Arial" w:hAnsi="Arial" w:cs="Arial"/>
          <w:sz w:val="22"/>
          <w:szCs w:val="22"/>
        </w:rPr>
        <w:t>government</w:t>
      </w:r>
      <w:r w:rsidR="00FE4EA2">
        <w:rPr>
          <w:rFonts w:ascii="Arial" w:hAnsi="Arial" w:cs="Arial"/>
          <w:sz w:val="22"/>
          <w:szCs w:val="22"/>
        </w:rPr>
        <w:t xml:space="preserve"> guidance</w:t>
      </w:r>
      <w:r w:rsidR="00C26E59">
        <w:rPr>
          <w:rStyle w:val="FootnoteReference"/>
          <w:rFonts w:ascii="Arial" w:hAnsi="Arial" w:cs="Arial"/>
          <w:sz w:val="22"/>
          <w:szCs w:val="22"/>
        </w:rPr>
        <w:footnoteReference w:id="2"/>
      </w:r>
      <w:r w:rsidR="00FE4EA2">
        <w:rPr>
          <w:rFonts w:ascii="Arial" w:hAnsi="Arial" w:cs="Arial"/>
          <w:sz w:val="22"/>
          <w:szCs w:val="22"/>
        </w:rPr>
        <w:t xml:space="preserve"> stating that </w:t>
      </w:r>
      <w:r w:rsidR="00C26E59">
        <w:rPr>
          <w:rFonts w:ascii="Arial" w:hAnsi="Arial" w:cs="Arial"/>
          <w:sz w:val="22"/>
          <w:szCs w:val="22"/>
        </w:rPr>
        <w:t>Biodiversity</w:t>
      </w:r>
      <w:r w:rsidR="00FE4EA2">
        <w:rPr>
          <w:rFonts w:ascii="Arial" w:hAnsi="Arial" w:cs="Arial"/>
          <w:sz w:val="22"/>
          <w:szCs w:val="22"/>
        </w:rPr>
        <w:t xml:space="preserve"> gains may be delivered anywhere in England. </w:t>
      </w:r>
      <w:r w:rsidR="00383C6A">
        <w:rPr>
          <w:rFonts w:ascii="Arial" w:hAnsi="Arial" w:cs="Arial"/>
          <w:sz w:val="22"/>
          <w:szCs w:val="22"/>
        </w:rPr>
        <w:t>A</w:t>
      </w:r>
      <w:r w:rsidR="00A00E75">
        <w:rPr>
          <w:rFonts w:ascii="Arial" w:hAnsi="Arial" w:cs="Arial"/>
          <w:sz w:val="22"/>
          <w:szCs w:val="22"/>
        </w:rPr>
        <w:t xml:space="preserve">s such </w:t>
      </w:r>
      <w:r w:rsidR="00BA32E6">
        <w:rPr>
          <w:rFonts w:ascii="Arial" w:hAnsi="Arial" w:cs="Arial"/>
          <w:sz w:val="22"/>
          <w:szCs w:val="22"/>
        </w:rPr>
        <w:t xml:space="preserve">the approach set out the proposed modification is inconsistent with national policy and unsound. </w:t>
      </w:r>
      <w:r w:rsidR="00FB4FC0">
        <w:rPr>
          <w:rFonts w:ascii="Arial" w:hAnsi="Arial" w:cs="Arial"/>
          <w:sz w:val="22"/>
          <w:szCs w:val="22"/>
        </w:rPr>
        <w:t>HBF propose CM</w:t>
      </w:r>
      <w:r w:rsidR="005E763C">
        <w:rPr>
          <w:rFonts w:ascii="Arial" w:hAnsi="Arial" w:cs="Arial"/>
          <w:sz w:val="22"/>
          <w:szCs w:val="22"/>
        </w:rPr>
        <w:t>073 is</w:t>
      </w:r>
      <w:r w:rsidR="00FB4FC0">
        <w:rPr>
          <w:rFonts w:ascii="Arial" w:hAnsi="Arial" w:cs="Arial"/>
          <w:sz w:val="22"/>
          <w:szCs w:val="22"/>
        </w:rPr>
        <w:t xml:space="preserve"> amended</w:t>
      </w:r>
      <w:r w:rsidR="005E763C">
        <w:rPr>
          <w:rFonts w:ascii="Arial" w:hAnsi="Arial" w:cs="Arial"/>
          <w:sz w:val="22"/>
          <w:szCs w:val="22"/>
        </w:rPr>
        <w:t xml:space="preserve"> to:</w:t>
      </w:r>
    </w:p>
    <w:p w14:paraId="696A7381" w14:textId="77777777" w:rsidR="00150292" w:rsidRDefault="00150292" w:rsidP="00F96A66">
      <w:pPr>
        <w:spacing w:line="360" w:lineRule="auto"/>
        <w:jc w:val="both"/>
        <w:rPr>
          <w:rFonts w:ascii="Arial" w:hAnsi="Arial" w:cs="Arial"/>
          <w:sz w:val="22"/>
          <w:szCs w:val="22"/>
        </w:rPr>
      </w:pPr>
    </w:p>
    <w:p w14:paraId="2700A989" w14:textId="119D18BD" w:rsidR="005E763C" w:rsidRPr="006569DA" w:rsidRDefault="00150292" w:rsidP="00F96A66">
      <w:pPr>
        <w:spacing w:line="360" w:lineRule="auto"/>
        <w:jc w:val="both"/>
        <w:rPr>
          <w:rFonts w:ascii="Arial" w:hAnsi="Arial" w:cs="Arial"/>
          <w:i/>
          <w:iCs/>
          <w:sz w:val="22"/>
          <w:szCs w:val="22"/>
        </w:rPr>
      </w:pPr>
      <w:r w:rsidRPr="006569DA">
        <w:rPr>
          <w:rFonts w:ascii="Arial" w:hAnsi="Arial" w:cs="Arial"/>
          <w:i/>
          <w:iCs/>
          <w:sz w:val="22"/>
          <w:szCs w:val="22"/>
        </w:rPr>
        <w:t xml:space="preserve">d) Where </w:t>
      </w:r>
      <w:r w:rsidR="00FD433B" w:rsidRPr="006569DA">
        <w:rPr>
          <w:rFonts w:ascii="Arial" w:hAnsi="Arial" w:cs="Arial"/>
          <w:i/>
          <w:iCs/>
          <w:sz w:val="22"/>
          <w:szCs w:val="22"/>
        </w:rPr>
        <w:t xml:space="preserve">it is </w:t>
      </w:r>
      <w:r w:rsidRPr="006569DA">
        <w:rPr>
          <w:rFonts w:ascii="Arial" w:hAnsi="Arial" w:cs="Arial"/>
          <w:i/>
          <w:iCs/>
          <w:sz w:val="22"/>
          <w:szCs w:val="22"/>
        </w:rPr>
        <w:t xml:space="preserve">agreed </w:t>
      </w:r>
      <w:r w:rsidR="00FD433B" w:rsidRPr="006569DA">
        <w:rPr>
          <w:rFonts w:ascii="Arial" w:hAnsi="Arial" w:cs="Arial"/>
          <w:i/>
          <w:iCs/>
          <w:sz w:val="22"/>
          <w:szCs w:val="22"/>
        </w:rPr>
        <w:t>on site provi</w:t>
      </w:r>
      <w:r w:rsidR="008B4B39" w:rsidRPr="006569DA">
        <w:rPr>
          <w:rFonts w:ascii="Arial" w:hAnsi="Arial" w:cs="Arial"/>
          <w:i/>
          <w:iCs/>
          <w:sz w:val="22"/>
          <w:szCs w:val="22"/>
        </w:rPr>
        <w:t>sion or delivery within the borough of net gains is not possible</w:t>
      </w:r>
      <w:r w:rsidRPr="006569DA">
        <w:rPr>
          <w:rFonts w:ascii="Arial" w:hAnsi="Arial" w:cs="Arial"/>
          <w:i/>
          <w:iCs/>
          <w:sz w:val="22"/>
          <w:szCs w:val="22"/>
        </w:rPr>
        <w:t xml:space="preserve">, off-site provision outside the Plan Area </w:t>
      </w:r>
      <w:r w:rsidR="00FD433B" w:rsidRPr="006569DA">
        <w:rPr>
          <w:rFonts w:ascii="Arial" w:hAnsi="Arial" w:cs="Arial"/>
          <w:i/>
          <w:iCs/>
          <w:sz w:val="22"/>
          <w:szCs w:val="22"/>
        </w:rPr>
        <w:t>will</w:t>
      </w:r>
      <w:r w:rsidRPr="006569DA">
        <w:rPr>
          <w:rFonts w:ascii="Arial" w:hAnsi="Arial" w:cs="Arial"/>
          <w:i/>
          <w:iCs/>
          <w:sz w:val="22"/>
          <w:szCs w:val="22"/>
        </w:rPr>
        <w:t xml:space="preserve"> be permitted</w:t>
      </w:r>
      <w:r w:rsidR="008B4B39" w:rsidRPr="006569DA">
        <w:rPr>
          <w:rFonts w:ascii="Arial" w:hAnsi="Arial" w:cs="Arial"/>
          <w:i/>
          <w:iCs/>
          <w:sz w:val="22"/>
          <w:szCs w:val="22"/>
        </w:rPr>
        <w:t>.</w:t>
      </w:r>
    </w:p>
    <w:p w14:paraId="5C4677A1" w14:textId="77777777" w:rsidR="00150292" w:rsidRDefault="00150292" w:rsidP="00F96A66">
      <w:pPr>
        <w:spacing w:line="360" w:lineRule="auto"/>
        <w:jc w:val="both"/>
        <w:rPr>
          <w:rFonts w:ascii="Arial" w:hAnsi="Arial" w:cs="Arial"/>
          <w:b/>
          <w:bCs/>
          <w:sz w:val="22"/>
          <w:szCs w:val="22"/>
        </w:rPr>
      </w:pPr>
    </w:p>
    <w:p w14:paraId="643E2B85" w14:textId="77777777" w:rsidR="000660B3" w:rsidRPr="000660B3" w:rsidRDefault="000660B3" w:rsidP="00F96A66">
      <w:pPr>
        <w:spacing w:line="360" w:lineRule="auto"/>
        <w:jc w:val="both"/>
        <w:rPr>
          <w:rFonts w:ascii="Arial" w:hAnsi="Arial" w:cs="Arial"/>
          <w:b/>
          <w:bCs/>
          <w:sz w:val="22"/>
          <w:szCs w:val="22"/>
        </w:rPr>
      </w:pPr>
      <w:r w:rsidRPr="000660B3">
        <w:rPr>
          <w:rFonts w:ascii="Arial" w:hAnsi="Arial" w:cs="Arial"/>
          <w:b/>
          <w:bCs/>
          <w:sz w:val="22"/>
          <w:szCs w:val="22"/>
        </w:rPr>
        <w:lastRenderedPageBreak/>
        <w:t xml:space="preserve">Policy NE17 Water neutrality </w:t>
      </w:r>
    </w:p>
    <w:p w14:paraId="5E25AFAB" w14:textId="77777777" w:rsidR="000660B3" w:rsidRDefault="000660B3" w:rsidP="00F96A66">
      <w:pPr>
        <w:autoSpaceDE w:val="0"/>
        <w:autoSpaceDN w:val="0"/>
        <w:adjustRightInd w:val="0"/>
        <w:spacing w:line="360" w:lineRule="auto"/>
        <w:rPr>
          <w:rFonts w:ascii="Verdana" w:hAnsi="Verdana" w:cs="Verdana"/>
          <w:color w:val="000000"/>
          <w:sz w:val="22"/>
          <w:szCs w:val="22"/>
          <w:lang w:eastAsia="en-GB"/>
        </w:rPr>
      </w:pPr>
    </w:p>
    <w:p w14:paraId="40187132" w14:textId="333A4995" w:rsidR="000660B3" w:rsidRPr="000660B3" w:rsidRDefault="000660B3" w:rsidP="00F96A66">
      <w:pPr>
        <w:spacing w:line="360" w:lineRule="auto"/>
        <w:jc w:val="both"/>
        <w:rPr>
          <w:rFonts w:ascii="Arial" w:hAnsi="Arial" w:cs="Arial"/>
          <w:i/>
          <w:iCs/>
          <w:sz w:val="22"/>
          <w:szCs w:val="22"/>
          <w:u w:val="single"/>
        </w:rPr>
      </w:pPr>
      <w:r w:rsidRPr="000660B3">
        <w:rPr>
          <w:rFonts w:ascii="Arial" w:hAnsi="Arial" w:cs="Arial"/>
          <w:i/>
          <w:iCs/>
          <w:sz w:val="22"/>
          <w:szCs w:val="22"/>
          <w:u w:val="single"/>
        </w:rPr>
        <w:t xml:space="preserve">Q.143 What is the justification for the 85 litres of mains supplied water per person per day as set out in criterion 1 a)? </w:t>
      </w:r>
    </w:p>
    <w:p w14:paraId="017CF668" w14:textId="77777777" w:rsidR="000660B3" w:rsidRDefault="000660B3" w:rsidP="00F96A66">
      <w:pPr>
        <w:spacing w:line="360" w:lineRule="auto"/>
        <w:jc w:val="both"/>
        <w:rPr>
          <w:rFonts w:ascii="Verdana" w:hAnsi="Verdana" w:cs="Verdana"/>
          <w:color w:val="000000"/>
          <w:sz w:val="22"/>
          <w:szCs w:val="22"/>
          <w:lang w:eastAsia="en-GB"/>
        </w:rPr>
      </w:pPr>
    </w:p>
    <w:p w14:paraId="69922112" w14:textId="151F8B1B" w:rsidR="006A5D67" w:rsidRDefault="00764921" w:rsidP="00F96A66">
      <w:pPr>
        <w:spacing w:line="360" w:lineRule="auto"/>
        <w:jc w:val="both"/>
        <w:rPr>
          <w:rFonts w:ascii="Arial" w:hAnsi="Arial" w:cs="Arial"/>
          <w:sz w:val="22"/>
          <w:szCs w:val="22"/>
        </w:rPr>
      </w:pPr>
      <w:r>
        <w:rPr>
          <w:rFonts w:ascii="Arial" w:hAnsi="Arial" w:cs="Arial"/>
          <w:sz w:val="22"/>
          <w:szCs w:val="22"/>
        </w:rPr>
        <w:t xml:space="preserve">HBF did not comment on this </w:t>
      </w:r>
      <w:r w:rsidR="002E35E9">
        <w:rPr>
          <w:rFonts w:ascii="Arial" w:hAnsi="Arial" w:cs="Arial"/>
          <w:sz w:val="22"/>
          <w:szCs w:val="22"/>
        </w:rPr>
        <w:t>policy</w:t>
      </w:r>
      <w:r>
        <w:rPr>
          <w:rFonts w:ascii="Arial" w:hAnsi="Arial" w:cs="Arial"/>
          <w:sz w:val="22"/>
          <w:szCs w:val="22"/>
        </w:rPr>
        <w:t xml:space="preserve"> at the time </w:t>
      </w:r>
      <w:r w:rsidR="002E35E9">
        <w:rPr>
          <w:rFonts w:ascii="Arial" w:hAnsi="Arial" w:cs="Arial"/>
          <w:sz w:val="22"/>
          <w:szCs w:val="22"/>
        </w:rPr>
        <w:t xml:space="preserve">given the relatively small area affected </w:t>
      </w:r>
      <w:r>
        <w:rPr>
          <w:rFonts w:ascii="Arial" w:hAnsi="Arial" w:cs="Arial"/>
          <w:sz w:val="22"/>
          <w:szCs w:val="22"/>
        </w:rPr>
        <w:t xml:space="preserve">but would like to </w:t>
      </w:r>
      <w:r w:rsidR="002E35E9">
        <w:rPr>
          <w:rFonts w:ascii="Arial" w:hAnsi="Arial" w:cs="Arial"/>
          <w:sz w:val="22"/>
          <w:szCs w:val="22"/>
        </w:rPr>
        <w:t>raise</w:t>
      </w:r>
      <w:r>
        <w:rPr>
          <w:rFonts w:ascii="Arial" w:hAnsi="Arial" w:cs="Arial"/>
          <w:sz w:val="22"/>
          <w:szCs w:val="22"/>
        </w:rPr>
        <w:t xml:space="preserve"> some co</w:t>
      </w:r>
      <w:r w:rsidR="002E35E9">
        <w:rPr>
          <w:rFonts w:ascii="Arial" w:hAnsi="Arial" w:cs="Arial"/>
          <w:sz w:val="22"/>
          <w:szCs w:val="22"/>
        </w:rPr>
        <w:t xml:space="preserve">ncerns with regard to the approach taken. It is </w:t>
      </w:r>
      <w:r w:rsidR="00CC69FD">
        <w:rPr>
          <w:rFonts w:ascii="Arial" w:hAnsi="Arial" w:cs="Arial"/>
          <w:sz w:val="22"/>
          <w:szCs w:val="22"/>
        </w:rPr>
        <w:t xml:space="preserve">important to recognise that </w:t>
      </w:r>
      <w:r w:rsidR="006A5D67" w:rsidRPr="006A5D67">
        <w:rPr>
          <w:rFonts w:ascii="Arial" w:hAnsi="Arial" w:cs="Arial"/>
          <w:sz w:val="22"/>
          <w:szCs w:val="22"/>
        </w:rPr>
        <w:t>it is ultimately the responsibility of water companies, working with local authorities and the Environment Agency, to plan for the future demand for water services relating to the development requirements proposed in local plans. If the water company is unable to supply those needs, this needs to be disclosed in the WRMP. If unforeseen events occur after the WRMP is adopted, meaning that the water company is now unable to provide the water services required, then the HBF would agree that the local authority must reflect those problems in its local plan. However, in the Sussex North Water Resource Area the approach being proposed falls heavily on the development industry who must not only reduce water use in new homes to 85 l/p/d but also ensure any residual water use to achieve neutrality is offset. This can be achieved through the Sussex North Water Offsetting Strategy (SNOWS) or through another appropriate offsetting scheme.</w:t>
      </w:r>
    </w:p>
    <w:p w14:paraId="620DDE2F" w14:textId="77777777" w:rsidR="00713581" w:rsidRDefault="00713581" w:rsidP="00F96A66">
      <w:pPr>
        <w:spacing w:line="360" w:lineRule="auto"/>
        <w:jc w:val="both"/>
        <w:rPr>
          <w:rFonts w:ascii="Arial" w:hAnsi="Arial" w:cs="Arial"/>
          <w:sz w:val="22"/>
          <w:szCs w:val="22"/>
        </w:rPr>
      </w:pPr>
    </w:p>
    <w:p w14:paraId="70CA1796" w14:textId="77777777" w:rsidR="00713581" w:rsidRPr="00713581" w:rsidRDefault="00713581" w:rsidP="00F96A66">
      <w:pPr>
        <w:spacing w:line="360" w:lineRule="auto"/>
        <w:jc w:val="both"/>
        <w:rPr>
          <w:rFonts w:ascii="Arial" w:hAnsi="Arial" w:cs="Arial"/>
          <w:sz w:val="22"/>
          <w:szCs w:val="22"/>
        </w:rPr>
      </w:pPr>
      <w:r w:rsidRPr="00713581">
        <w:rPr>
          <w:rFonts w:ascii="Arial" w:hAnsi="Arial" w:cs="Arial"/>
          <w:sz w:val="22"/>
          <w:szCs w:val="22"/>
        </w:rPr>
        <w:t>The HBF have a number of concerns with this approach. Firstly, it requires developers to provide offsetting of water use to address an issue that is not its responsibility to resolve and is therefore inconsistent with the requirements for planning obligations set out in paragraph 57 of the NPPF and section 121 of the Community Infrastructure Levy Regulations. Offsetting may be required in order to bring forward development, but it is for the water company to pay for not the development industry.</w:t>
      </w:r>
    </w:p>
    <w:p w14:paraId="1BDD3E49" w14:textId="77777777" w:rsidR="00713581" w:rsidRDefault="00713581" w:rsidP="00F96A66">
      <w:pPr>
        <w:spacing w:line="360" w:lineRule="auto"/>
        <w:jc w:val="both"/>
        <w:rPr>
          <w:rFonts w:ascii="Arial" w:hAnsi="Arial" w:cs="Arial"/>
          <w:sz w:val="22"/>
          <w:szCs w:val="22"/>
        </w:rPr>
      </w:pPr>
    </w:p>
    <w:p w14:paraId="26A575CA" w14:textId="7A8A048B" w:rsidR="00713581" w:rsidRPr="00713581" w:rsidRDefault="00713581" w:rsidP="00F96A66">
      <w:pPr>
        <w:spacing w:line="360" w:lineRule="auto"/>
        <w:jc w:val="both"/>
        <w:rPr>
          <w:rFonts w:ascii="Arial" w:hAnsi="Arial" w:cs="Arial"/>
          <w:sz w:val="22"/>
          <w:szCs w:val="22"/>
        </w:rPr>
      </w:pPr>
      <w:r w:rsidRPr="00713581">
        <w:rPr>
          <w:rFonts w:ascii="Arial" w:hAnsi="Arial" w:cs="Arial"/>
          <w:sz w:val="22"/>
          <w:szCs w:val="22"/>
        </w:rPr>
        <w:t>Secondly, even if it is considered sound that offsetting payments are consistent with paragraph 57 of the NPPF we are concerned as to the effectiveness of this strategy, the potential costs and whether it will be effective in securing long term reductions in water use. Whilst this may not impact on the deliverability of this plan it will on the rest of the North Sussex HMA potential increasing unmet needs in Horsham and Crawley. Therefore, any assurances by the Council and its statutory partners with regard offsetting will need to be examined carefully. In particular consideration will need to be given to:</w:t>
      </w:r>
    </w:p>
    <w:p w14:paraId="6EEBD768" w14:textId="0A7C703E" w:rsidR="00075C3E" w:rsidRDefault="00713581" w:rsidP="00F96A66">
      <w:pPr>
        <w:pStyle w:val="ListParagraph"/>
        <w:numPr>
          <w:ilvl w:val="0"/>
          <w:numId w:val="7"/>
        </w:numPr>
        <w:spacing w:line="360" w:lineRule="auto"/>
        <w:jc w:val="both"/>
        <w:rPr>
          <w:rFonts w:ascii="Arial" w:hAnsi="Arial" w:cs="Arial"/>
        </w:rPr>
      </w:pPr>
      <w:r w:rsidRPr="00713581">
        <w:rPr>
          <w:rFonts w:ascii="Arial" w:hAnsi="Arial" w:cs="Arial"/>
        </w:rPr>
        <w:lastRenderedPageBreak/>
        <w:t xml:space="preserve">the degree of risk that the practical implementation of the SNOWS water neutrality strategy will be </w:t>
      </w:r>
      <w:r w:rsidR="00D21C18" w:rsidRPr="00713581">
        <w:rPr>
          <w:rFonts w:ascii="Arial" w:hAnsi="Arial" w:cs="Arial"/>
        </w:rPr>
        <w:t>delayed</w:t>
      </w:r>
      <w:r w:rsidR="00CC3CA4">
        <w:rPr>
          <w:rFonts w:ascii="Arial" w:hAnsi="Arial" w:cs="Arial"/>
        </w:rPr>
        <w:t>; and</w:t>
      </w:r>
    </w:p>
    <w:p w14:paraId="2695CB11" w14:textId="44292F73" w:rsidR="00713581" w:rsidRPr="00713581" w:rsidRDefault="00075C3E" w:rsidP="00F96A66">
      <w:pPr>
        <w:pStyle w:val="ListParagraph"/>
        <w:numPr>
          <w:ilvl w:val="0"/>
          <w:numId w:val="7"/>
        </w:numPr>
        <w:spacing w:line="360" w:lineRule="auto"/>
        <w:jc w:val="both"/>
        <w:rPr>
          <w:rFonts w:ascii="Arial" w:hAnsi="Arial" w:cs="Arial"/>
        </w:rPr>
      </w:pPr>
      <w:r>
        <w:rPr>
          <w:rFonts w:ascii="Arial" w:hAnsi="Arial" w:cs="Arial"/>
        </w:rPr>
        <w:t xml:space="preserve">Whether there is sufficient capacity SNOWs will be available to all development </w:t>
      </w:r>
      <w:r w:rsidR="00D21C18">
        <w:rPr>
          <w:rFonts w:ascii="Arial" w:hAnsi="Arial" w:cs="Arial"/>
        </w:rPr>
        <w:t xml:space="preserve">in affected areas </w:t>
      </w:r>
      <w:r>
        <w:rPr>
          <w:rFonts w:ascii="Arial" w:hAnsi="Arial" w:cs="Arial"/>
        </w:rPr>
        <w:t xml:space="preserve">that requires </w:t>
      </w:r>
      <w:r w:rsidR="00D21C18">
        <w:rPr>
          <w:rFonts w:ascii="Arial" w:hAnsi="Arial" w:cs="Arial"/>
        </w:rPr>
        <w:t>offsetting</w:t>
      </w:r>
      <w:r w:rsidR="00CC3CA4">
        <w:rPr>
          <w:rFonts w:ascii="Arial" w:hAnsi="Arial" w:cs="Arial"/>
        </w:rPr>
        <w:t xml:space="preserve"> or whether credits will be rationed</w:t>
      </w:r>
      <w:r w:rsidR="00F74C8E">
        <w:rPr>
          <w:rFonts w:ascii="Arial" w:hAnsi="Arial" w:cs="Arial"/>
        </w:rPr>
        <w:t>.</w:t>
      </w:r>
    </w:p>
    <w:p w14:paraId="46212A18" w14:textId="3D25EE30" w:rsidR="00713581" w:rsidRPr="006A5D67" w:rsidRDefault="00713581" w:rsidP="00F96A66">
      <w:pPr>
        <w:spacing w:line="360" w:lineRule="auto"/>
        <w:jc w:val="both"/>
        <w:rPr>
          <w:rFonts w:ascii="Arial" w:hAnsi="Arial" w:cs="Arial"/>
          <w:sz w:val="22"/>
          <w:szCs w:val="22"/>
        </w:rPr>
      </w:pPr>
      <w:r w:rsidRPr="00713581">
        <w:rPr>
          <w:rFonts w:ascii="Arial" w:hAnsi="Arial" w:cs="Arial"/>
          <w:sz w:val="22"/>
          <w:szCs w:val="22"/>
        </w:rPr>
        <w:t>To conclude, whilst the impact of water ground water abstraction at Pulborough on protected sites known collectively as the Arun Vallery sites must be considered by the Council as part of this local plan, the HBF do not consider a solution that shifts a significant part of the burden for addressing this issue from Southern Water to the development industry to be consistent with current legislation or national policy. It should be for Southern Water to use its resources to secure the necessary solution and not house builders, or indeed others in the development industry. If Southern Water is unwilling to meet its legal duties to ensure sufficient water supplies or fund the level of offsetting required to support local plans, then the only conclusion is that plans reliant on this policy are unsound.</w:t>
      </w:r>
    </w:p>
    <w:p w14:paraId="5DACB0E5" w14:textId="77777777" w:rsidR="000660B3" w:rsidRDefault="000660B3" w:rsidP="00F96A66">
      <w:pPr>
        <w:spacing w:line="360" w:lineRule="auto"/>
        <w:jc w:val="both"/>
        <w:rPr>
          <w:rFonts w:ascii="Arial" w:hAnsi="Arial" w:cs="Arial"/>
          <w:b/>
          <w:bCs/>
          <w:sz w:val="22"/>
          <w:szCs w:val="22"/>
        </w:rPr>
      </w:pPr>
    </w:p>
    <w:p w14:paraId="6B298D45" w14:textId="0AC25E6A" w:rsidR="009B0793" w:rsidRPr="009B0793" w:rsidRDefault="009B0793" w:rsidP="00F96A66">
      <w:pPr>
        <w:spacing w:line="360" w:lineRule="auto"/>
        <w:jc w:val="both"/>
        <w:rPr>
          <w:rFonts w:ascii="Arial" w:hAnsi="Arial" w:cs="Arial"/>
          <w:b/>
          <w:bCs/>
          <w:sz w:val="22"/>
          <w:szCs w:val="22"/>
        </w:rPr>
      </w:pPr>
      <w:r w:rsidRPr="009B0793">
        <w:rPr>
          <w:rFonts w:ascii="Arial" w:hAnsi="Arial" w:cs="Arial"/>
          <w:b/>
          <w:bCs/>
          <w:sz w:val="22"/>
          <w:szCs w:val="22"/>
        </w:rPr>
        <w:t>Policy P1 Design Principles</w:t>
      </w:r>
    </w:p>
    <w:p w14:paraId="07476E9E" w14:textId="77777777" w:rsidR="009B0793" w:rsidRDefault="009B0793" w:rsidP="00F96A66">
      <w:pPr>
        <w:spacing w:line="360" w:lineRule="auto"/>
        <w:jc w:val="both"/>
        <w:rPr>
          <w:rFonts w:ascii="Arial" w:hAnsi="Arial" w:cs="Arial"/>
          <w:sz w:val="22"/>
          <w:szCs w:val="22"/>
        </w:rPr>
      </w:pPr>
    </w:p>
    <w:p w14:paraId="2F033D2B" w14:textId="48E4A980" w:rsidR="00340B0D" w:rsidRPr="009B0793" w:rsidRDefault="009B0793" w:rsidP="00F96A66">
      <w:pPr>
        <w:spacing w:line="360" w:lineRule="auto"/>
        <w:jc w:val="both"/>
        <w:rPr>
          <w:rFonts w:ascii="Arial" w:hAnsi="Arial" w:cs="Arial"/>
          <w:i/>
          <w:iCs/>
          <w:sz w:val="22"/>
          <w:szCs w:val="22"/>
          <w:u w:val="single"/>
        </w:rPr>
      </w:pPr>
      <w:r w:rsidRPr="009B0793">
        <w:rPr>
          <w:rFonts w:ascii="Arial" w:hAnsi="Arial" w:cs="Arial"/>
          <w:i/>
          <w:iCs/>
          <w:sz w:val="22"/>
          <w:szCs w:val="22"/>
          <w:u w:val="single"/>
        </w:rPr>
        <w:t>Q.154 Are the suggested MMs necessary for soundness?</w:t>
      </w:r>
    </w:p>
    <w:p w14:paraId="1B1F2F59" w14:textId="77777777" w:rsidR="00340B0D" w:rsidRDefault="00340B0D" w:rsidP="00F96A66">
      <w:pPr>
        <w:spacing w:line="360" w:lineRule="auto"/>
        <w:jc w:val="both"/>
        <w:rPr>
          <w:rFonts w:ascii="Arial" w:hAnsi="Arial" w:cs="Arial"/>
          <w:sz w:val="22"/>
          <w:szCs w:val="22"/>
        </w:rPr>
      </w:pPr>
    </w:p>
    <w:p w14:paraId="3DB0E100" w14:textId="7ECB5793" w:rsidR="009B0793" w:rsidRDefault="009B0793" w:rsidP="00F96A66">
      <w:pPr>
        <w:spacing w:line="360" w:lineRule="auto"/>
        <w:jc w:val="both"/>
        <w:rPr>
          <w:rFonts w:ascii="Arial" w:hAnsi="Arial" w:cs="Arial"/>
          <w:sz w:val="22"/>
          <w:szCs w:val="22"/>
        </w:rPr>
      </w:pPr>
      <w:r>
        <w:rPr>
          <w:rFonts w:ascii="Arial" w:hAnsi="Arial" w:cs="Arial"/>
          <w:sz w:val="22"/>
          <w:szCs w:val="22"/>
        </w:rPr>
        <w:t xml:space="preserve">HBF consider the </w:t>
      </w:r>
      <w:r w:rsidR="00C46904">
        <w:rPr>
          <w:rFonts w:ascii="Arial" w:hAnsi="Arial" w:cs="Arial"/>
          <w:sz w:val="22"/>
          <w:szCs w:val="22"/>
        </w:rPr>
        <w:t>suggested</w:t>
      </w:r>
      <w:r>
        <w:rPr>
          <w:rFonts w:ascii="Arial" w:hAnsi="Arial" w:cs="Arial"/>
          <w:sz w:val="22"/>
          <w:szCs w:val="22"/>
        </w:rPr>
        <w:t xml:space="preserve"> modifications t</w:t>
      </w:r>
      <w:r w:rsidR="00663E58">
        <w:rPr>
          <w:rFonts w:ascii="Arial" w:hAnsi="Arial" w:cs="Arial"/>
          <w:sz w:val="22"/>
          <w:szCs w:val="22"/>
        </w:rPr>
        <w:t>o</w:t>
      </w:r>
      <w:r>
        <w:rPr>
          <w:rFonts w:ascii="Arial" w:hAnsi="Arial" w:cs="Arial"/>
          <w:sz w:val="22"/>
          <w:szCs w:val="22"/>
        </w:rPr>
        <w:t xml:space="preserve"> be necessary for soun</w:t>
      </w:r>
      <w:r w:rsidR="00C46904">
        <w:rPr>
          <w:rFonts w:ascii="Arial" w:hAnsi="Arial" w:cs="Arial"/>
          <w:sz w:val="22"/>
          <w:szCs w:val="22"/>
        </w:rPr>
        <w:t>dness.</w:t>
      </w:r>
    </w:p>
    <w:p w14:paraId="6238A952" w14:textId="77777777" w:rsidR="009B0793" w:rsidRDefault="009B0793" w:rsidP="00F96A66">
      <w:pPr>
        <w:spacing w:line="360" w:lineRule="auto"/>
        <w:jc w:val="both"/>
        <w:rPr>
          <w:rFonts w:ascii="Arial" w:hAnsi="Arial" w:cs="Arial"/>
          <w:sz w:val="22"/>
          <w:szCs w:val="22"/>
        </w:rPr>
      </w:pPr>
    </w:p>
    <w:p w14:paraId="455CDDAE" w14:textId="77777777" w:rsidR="00D92DC4" w:rsidRPr="00D92DC4" w:rsidRDefault="00D92DC4" w:rsidP="00F96A66">
      <w:pPr>
        <w:spacing w:line="360" w:lineRule="auto"/>
        <w:jc w:val="both"/>
        <w:rPr>
          <w:rFonts w:ascii="Arial" w:hAnsi="Arial" w:cs="Arial"/>
          <w:b/>
          <w:bCs/>
          <w:sz w:val="22"/>
          <w:szCs w:val="22"/>
        </w:rPr>
      </w:pPr>
      <w:r w:rsidRPr="00D92DC4">
        <w:rPr>
          <w:rFonts w:ascii="Arial" w:hAnsi="Arial" w:cs="Arial"/>
          <w:b/>
          <w:bCs/>
          <w:sz w:val="22"/>
          <w:szCs w:val="22"/>
        </w:rPr>
        <w:t>Policy P6 Amenity</w:t>
      </w:r>
    </w:p>
    <w:p w14:paraId="3004A26B" w14:textId="77777777" w:rsidR="00D92DC4" w:rsidRDefault="00D92DC4" w:rsidP="00F96A66">
      <w:pPr>
        <w:spacing w:line="360" w:lineRule="auto"/>
        <w:jc w:val="both"/>
        <w:rPr>
          <w:rFonts w:ascii="Arial" w:hAnsi="Arial" w:cs="Arial"/>
          <w:b/>
          <w:bCs/>
          <w:sz w:val="22"/>
          <w:szCs w:val="22"/>
        </w:rPr>
      </w:pPr>
    </w:p>
    <w:p w14:paraId="16B13AEC" w14:textId="3F475E97" w:rsidR="00D92DC4" w:rsidRPr="00D92DC4" w:rsidRDefault="00D92DC4" w:rsidP="00F96A66">
      <w:pPr>
        <w:spacing w:line="360" w:lineRule="auto"/>
        <w:jc w:val="both"/>
        <w:rPr>
          <w:rFonts w:ascii="Arial" w:hAnsi="Arial" w:cs="Arial"/>
          <w:i/>
          <w:iCs/>
          <w:sz w:val="22"/>
          <w:szCs w:val="22"/>
          <w:u w:val="single"/>
        </w:rPr>
      </w:pPr>
      <w:r w:rsidRPr="00D92DC4">
        <w:rPr>
          <w:rFonts w:ascii="Arial" w:hAnsi="Arial" w:cs="Arial"/>
          <w:i/>
          <w:iCs/>
          <w:sz w:val="22"/>
          <w:szCs w:val="22"/>
          <w:u w:val="single"/>
        </w:rPr>
        <w:t>Q.157 Policy P6 proposes that the nationally described space standards should be met as a minimum in housing development (subject to defined exceptions). What is the justification for this? What is the need for the application of the space standards, and what if any implications would this have on viability?</w:t>
      </w:r>
    </w:p>
    <w:p w14:paraId="3B3BA61E" w14:textId="77777777" w:rsidR="00D92DC4" w:rsidRPr="00EC0B3B" w:rsidRDefault="00D92DC4" w:rsidP="00F96A66">
      <w:pPr>
        <w:spacing w:line="360" w:lineRule="auto"/>
        <w:jc w:val="both"/>
        <w:rPr>
          <w:rFonts w:ascii="Arial" w:hAnsi="Arial" w:cs="Arial"/>
          <w:sz w:val="22"/>
          <w:szCs w:val="22"/>
        </w:rPr>
      </w:pPr>
    </w:p>
    <w:p w14:paraId="68767781" w14:textId="19FF0B53" w:rsidR="00D92DC4" w:rsidRPr="00EC0B3B" w:rsidRDefault="00342F7D" w:rsidP="00F96A66">
      <w:pPr>
        <w:spacing w:line="360" w:lineRule="auto"/>
        <w:jc w:val="both"/>
        <w:rPr>
          <w:rFonts w:ascii="Arial" w:hAnsi="Arial" w:cs="Arial"/>
          <w:sz w:val="22"/>
          <w:szCs w:val="22"/>
        </w:rPr>
      </w:pPr>
      <w:r>
        <w:rPr>
          <w:rFonts w:ascii="Arial" w:hAnsi="Arial" w:cs="Arial"/>
          <w:sz w:val="22"/>
          <w:szCs w:val="22"/>
        </w:rPr>
        <w:t xml:space="preserve">PPG requires there to be evidence of need in </w:t>
      </w:r>
      <w:r w:rsidR="003D4BEE">
        <w:rPr>
          <w:rFonts w:ascii="Arial" w:hAnsi="Arial" w:cs="Arial"/>
          <w:sz w:val="22"/>
          <w:szCs w:val="22"/>
        </w:rPr>
        <w:t>relation</w:t>
      </w:r>
      <w:r>
        <w:rPr>
          <w:rFonts w:ascii="Arial" w:hAnsi="Arial" w:cs="Arial"/>
          <w:sz w:val="22"/>
          <w:szCs w:val="22"/>
        </w:rPr>
        <w:t xml:space="preserve"> to the application of space </w:t>
      </w:r>
      <w:r w:rsidR="003D4BEE">
        <w:rPr>
          <w:rFonts w:ascii="Arial" w:hAnsi="Arial" w:cs="Arial"/>
          <w:sz w:val="22"/>
          <w:szCs w:val="22"/>
        </w:rPr>
        <w:t>standards</w:t>
      </w:r>
      <w:r>
        <w:rPr>
          <w:rFonts w:ascii="Arial" w:hAnsi="Arial" w:cs="Arial"/>
          <w:sz w:val="22"/>
          <w:szCs w:val="22"/>
        </w:rPr>
        <w:t xml:space="preserve">. However, HBF could not </w:t>
      </w:r>
      <w:r w:rsidR="003D4BEE">
        <w:rPr>
          <w:rFonts w:ascii="Arial" w:hAnsi="Arial" w:cs="Arial"/>
          <w:sz w:val="22"/>
          <w:szCs w:val="22"/>
        </w:rPr>
        <w:t>find</w:t>
      </w:r>
      <w:r>
        <w:rPr>
          <w:rFonts w:ascii="Arial" w:hAnsi="Arial" w:cs="Arial"/>
          <w:sz w:val="22"/>
          <w:szCs w:val="22"/>
        </w:rPr>
        <w:t xml:space="preserve"> any evidence supporting the need for space standards. Without this </w:t>
      </w:r>
      <w:r w:rsidR="003D4BEE">
        <w:rPr>
          <w:rFonts w:ascii="Arial" w:hAnsi="Arial" w:cs="Arial"/>
          <w:sz w:val="22"/>
          <w:szCs w:val="22"/>
        </w:rPr>
        <w:t xml:space="preserve">evidence requirement to meet these standards is unjustified. </w:t>
      </w:r>
      <w:r w:rsidR="00E27756">
        <w:rPr>
          <w:rFonts w:ascii="Arial" w:hAnsi="Arial" w:cs="Arial"/>
          <w:sz w:val="22"/>
          <w:szCs w:val="22"/>
        </w:rPr>
        <w:t xml:space="preserve">In order to adopt the space </w:t>
      </w:r>
      <w:r w:rsidR="005A5CBD">
        <w:rPr>
          <w:rFonts w:ascii="Arial" w:hAnsi="Arial" w:cs="Arial"/>
          <w:sz w:val="22"/>
          <w:szCs w:val="22"/>
        </w:rPr>
        <w:t>standards,</w:t>
      </w:r>
      <w:r w:rsidR="00E27756">
        <w:rPr>
          <w:rFonts w:ascii="Arial" w:hAnsi="Arial" w:cs="Arial"/>
          <w:sz w:val="22"/>
          <w:szCs w:val="22"/>
        </w:rPr>
        <w:t xml:space="preserve"> the council must provide </w:t>
      </w:r>
      <w:r w:rsidR="005A5CBD">
        <w:rPr>
          <w:rFonts w:ascii="Arial" w:hAnsi="Arial" w:cs="Arial"/>
          <w:sz w:val="22"/>
          <w:szCs w:val="22"/>
        </w:rPr>
        <w:t>the necessary evidence.</w:t>
      </w:r>
    </w:p>
    <w:p w14:paraId="2B5D4A21" w14:textId="77777777" w:rsidR="00D92DC4" w:rsidRDefault="00D92DC4" w:rsidP="00F96A66">
      <w:pPr>
        <w:spacing w:line="360" w:lineRule="auto"/>
        <w:jc w:val="both"/>
        <w:rPr>
          <w:rFonts w:ascii="Arial" w:hAnsi="Arial" w:cs="Arial"/>
          <w:b/>
          <w:bCs/>
          <w:sz w:val="22"/>
          <w:szCs w:val="22"/>
        </w:rPr>
      </w:pPr>
    </w:p>
    <w:p w14:paraId="2334C8B0" w14:textId="2DDDA706" w:rsidR="00340B0D" w:rsidRPr="00340B0D" w:rsidRDefault="00340B0D" w:rsidP="00F96A66">
      <w:pPr>
        <w:spacing w:line="360" w:lineRule="auto"/>
        <w:jc w:val="both"/>
        <w:rPr>
          <w:rFonts w:ascii="Arial" w:hAnsi="Arial" w:cs="Arial"/>
          <w:b/>
          <w:bCs/>
          <w:sz w:val="22"/>
          <w:szCs w:val="22"/>
        </w:rPr>
      </w:pPr>
      <w:r w:rsidRPr="00340B0D">
        <w:rPr>
          <w:rFonts w:ascii="Arial" w:hAnsi="Arial" w:cs="Arial"/>
          <w:b/>
          <w:bCs/>
          <w:sz w:val="22"/>
          <w:szCs w:val="22"/>
        </w:rPr>
        <w:t>Policy P15 Open Space, Sport and Recreation</w:t>
      </w:r>
    </w:p>
    <w:p w14:paraId="318E7B5B" w14:textId="77777777" w:rsidR="00E338AE" w:rsidRDefault="00E338AE" w:rsidP="00F96A66">
      <w:pPr>
        <w:spacing w:line="360" w:lineRule="auto"/>
        <w:jc w:val="both"/>
        <w:rPr>
          <w:rFonts w:ascii="Arial" w:hAnsi="Arial" w:cs="Arial"/>
          <w:sz w:val="22"/>
          <w:szCs w:val="22"/>
        </w:rPr>
      </w:pPr>
    </w:p>
    <w:p w14:paraId="07138BC5" w14:textId="2B31D393" w:rsidR="00E338AE" w:rsidRPr="00E338AE" w:rsidRDefault="00E338AE" w:rsidP="00F96A66">
      <w:pPr>
        <w:spacing w:line="360" w:lineRule="auto"/>
        <w:jc w:val="both"/>
        <w:rPr>
          <w:rFonts w:ascii="Arial" w:hAnsi="Arial" w:cs="Arial"/>
          <w:i/>
          <w:iCs/>
          <w:sz w:val="22"/>
          <w:szCs w:val="22"/>
          <w:u w:val="single"/>
        </w:rPr>
      </w:pPr>
      <w:r w:rsidRPr="00E338AE">
        <w:rPr>
          <w:rFonts w:ascii="Arial" w:hAnsi="Arial" w:cs="Arial"/>
          <w:i/>
          <w:iCs/>
          <w:sz w:val="22"/>
          <w:szCs w:val="22"/>
          <w:u w:val="single"/>
        </w:rPr>
        <w:t>Q.172 Are the suggested MMs necessary for soundness?</w:t>
      </w:r>
    </w:p>
    <w:p w14:paraId="1B847D46" w14:textId="77777777" w:rsidR="00E338AE" w:rsidRDefault="00E338AE" w:rsidP="00F96A66">
      <w:pPr>
        <w:spacing w:line="360" w:lineRule="auto"/>
        <w:jc w:val="both"/>
        <w:rPr>
          <w:rFonts w:ascii="Arial" w:hAnsi="Arial" w:cs="Arial"/>
          <w:sz w:val="22"/>
          <w:szCs w:val="22"/>
        </w:rPr>
      </w:pPr>
    </w:p>
    <w:p w14:paraId="3D7AC033" w14:textId="63D56FDE" w:rsidR="00201D59" w:rsidRDefault="00E470E6" w:rsidP="00F96A66">
      <w:pPr>
        <w:spacing w:line="360" w:lineRule="auto"/>
        <w:jc w:val="both"/>
        <w:rPr>
          <w:rFonts w:ascii="Arial" w:hAnsi="Arial" w:cs="Arial"/>
          <w:sz w:val="22"/>
          <w:szCs w:val="22"/>
        </w:rPr>
      </w:pPr>
      <w:r>
        <w:rPr>
          <w:rFonts w:ascii="Arial" w:hAnsi="Arial" w:cs="Arial"/>
          <w:sz w:val="22"/>
          <w:szCs w:val="22"/>
        </w:rPr>
        <w:t xml:space="preserve">The HBF would agree with the proposed modifications. </w:t>
      </w:r>
    </w:p>
    <w:p w14:paraId="1D05DF51" w14:textId="77777777" w:rsidR="00201D59" w:rsidRDefault="00201D59" w:rsidP="00F96A66">
      <w:pPr>
        <w:spacing w:line="360" w:lineRule="auto"/>
        <w:jc w:val="both"/>
        <w:rPr>
          <w:rFonts w:ascii="Arial" w:hAnsi="Arial" w:cs="Arial"/>
          <w:sz w:val="22"/>
          <w:szCs w:val="22"/>
        </w:rPr>
      </w:pPr>
    </w:p>
    <w:p w14:paraId="7BFB93B8" w14:textId="77777777" w:rsidR="008909A3" w:rsidRPr="00984EA0" w:rsidRDefault="008909A3" w:rsidP="00F96A66">
      <w:pPr>
        <w:spacing w:line="360" w:lineRule="auto"/>
        <w:rPr>
          <w:rFonts w:ascii="Arial" w:hAnsi="Arial" w:cs="Arial"/>
          <w:b/>
          <w:bCs/>
          <w:sz w:val="22"/>
          <w:szCs w:val="22"/>
        </w:rPr>
      </w:pPr>
      <w:r w:rsidRPr="00984EA0">
        <w:rPr>
          <w:rFonts w:ascii="Arial" w:hAnsi="Arial" w:cs="Arial"/>
          <w:b/>
          <w:bCs/>
          <w:sz w:val="22"/>
          <w:szCs w:val="22"/>
        </w:rPr>
        <w:t>Policy I1 Infrastructure Provision</w:t>
      </w:r>
    </w:p>
    <w:p w14:paraId="2AAFDA5A" w14:textId="77777777" w:rsidR="008909A3" w:rsidRDefault="008909A3" w:rsidP="00F96A66">
      <w:pPr>
        <w:spacing w:line="360" w:lineRule="auto"/>
        <w:rPr>
          <w:rFonts w:ascii="Arial" w:hAnsi="Arial" w:cs="Arial"/>
          <w:sz w:val="22"/>
          <w:szCs w:val="22"/>
        </w:rPr>
      </w:pPr>
    </w:p>
    <w:p w14:paraId="7D5F0369" w14:textId="5FBB2CBB" w:rsidR="008909A3" w:rsidRPr="008909A3" w:rsidRDefault="008909A3" w:rsidP="00F96A66">
      <w:pPr>
        <w:spacing w:line="360" w:lineRule="auto"/>
        <w:rPr>
          <w:rFonts w:ascii="Arial" w:hAnsi="Arial" w:cs="Arial"/>
          <w:i/>
          <w:iCs/>
          <w:sz w:val="22"/>
          <w:szCs w:val="22"/>
          <w:u w:val="single"/>
        </w:rPr>
      </w:pPr>
      <w:r w:rsidRPr="008909A3">
        <w:rPr>
          <w:rFonts w:ascii="Arial" w:hAnsi="Arial" w:cs="Arial"/>
          <w:i/>
          <w:iCs/>
          <w:sz w:val="22"/>
          <w:szCs w:val="22"/>
          <w:u w:val="single"/>
        </w:rPr>
        <w:t>Q.178 Are the requirements of paragraph 2 of Policy I1 consistent with NPPF 56 and Regulation 122(2) of the Community Infrastructure Levy Regulations 2010?</w:t>
      </w:r>
    </w:p>
    <w:p w14:paraId="52F216AF" w14:textId="77777777" w:rsidR="008909A3" w:rsidRDefault="008909A3" w:rsidP="00F96A66">
      <w:pPr>
        <w:spacing w:line="360" w:lineRule="auto"/>
        <w:rPr>
          <w:rFonts w:ascii="Arial" w:hAnsi="Arial" w:cs="Arial"/>
          <w:sz w:val="22"/>
          <w:szCs w:val="22"/>
        </w:rPr>
      </w:pPr>
    </w:p>
    <w:p w14:paraId="0ADC10E3" w14:textId="1AA4C9C0" w:rsidR="008909A3" w:rsidRDefault="00061EDC" w:rsidP="00F96A66">
      <w:pPr>
        <w:spacing w:line="360" w:lineRule="auto"/>
        <w:rPr>
          <w:rFonts w:ascii="Arial" w:hAnsi="Arial" w:cs="Arial"/>
          <w:sz w:val="22"/>
          <w:szCs w:val="22"/>
        </w:rPr>
      </w:pPr>
      <w:r>
        <w:rPr>
          <w:rFonts w:ascii="Arial" w:hAnsi="Arial" w:cs="Arial"/>
          <w:sz w:val="22"/>
          <w:szCs w:val="22"/>
        </w:rPr>
        <w:t>No comment.</w:t>
      </w:r>
    </w:p>
    <w:p w14:paraId="5B86DC38" w14:textId="77777777" w:rsidR="008909A3" w:rsidRDefault="008909A3" w:rsidP="00F96A66">
      <w:pPr>
        <w:spacing w:line="360" w:lineRule="auto"/>
        <w:rPr>
          <w:rFonts w:ascii="Arial" w:hAnsi="Arial" w:cs="Arial"/>
          <w:sz w:val="22"/>
          <w:szCs w:val="22"/>
        </w:rPr>
      </w:pPr>
    </w:p>
    <w:p w14:paraId="3E46265C" w14:textId="37809953" w:rsidR="00E338AE" w:rsidRPr="008909A3" w:rsidRDefault="008909A3" w:rsidP="00F96A66">
      <w:pPr>
        <w:spacing w:line="360" w:lineRule="auto"/>
        <w:rPr>
          <w:rFonts w:ascii="Arial" w:hAnsi="Arial" w:cs="Arial"/>
          <w:i/>
          <w:iCs/>
          <w:sz w:val="22"/>
          <w:szCs w:val="22"/>
          <w:u w:val="single"/>
        </w:rPr>
      </w:pPr>
      <w:r w:rsidRPr="008909A3">
        <w:rPr>
          <w:rFonts w:ascii="Arial" w:hAnsi="Arial" w:cs="Arial"/>
          <w:i/>
          <w:iCs/>
          <w:sz w:val="22"/>
          <w:szCs w:val="22"/>
          <w:u w:val="single"/>
        </w:rPr>
        <w:t>Q.179 Are the suggested MMs necessary for soundness?</w:t>
      </w:r>
    </w:p>
    <w:p w14:paraId="7131C7D8" w14:textId="77777777" w:rsidR="00E338AE" w:rsidRDefault="00E338AE" w:rsidP="00F96A66">
      <w:pPr>
        <w:spacing w:line="360" w:lineRule="auto"/>
        <w:rPr>
          <w:rFonts w:ascii="Arial" w:hAnsi="Arial" w:cs="Arial"/>
          <w:sz w:val="22"/>
          <w:szCs w:val="22"/>
        </w:rPr>
      </w:pPr>
    </w:p>
    <w:p w14:paraId="56A96D69" w14:textId="1CF2B680" w:rsidR="008909A3" w:rsidRDefault="000C6974" w:rsidP="00F96A66">
      <w:pPr>
        <w:spacing w:line="360" w:lineRule="auto"/>
        <w:jc w:val="both"/>
        <w:rPr>
          <w:rFonts w:ascii="Arial" w:hAnsi="Arial" w:cs="Arial"/>
          <w:sz w:val="22"/>
          <w:szCs w:val="22"/>
        </w:rPr>
      </w:pPr>
      <w:r>
        <w:rPr>
          <w:rFonts w:ascii="Arial" w:hAnsi="Arial" w:cs="Arial"/>
          <w:sz w:val="22"/>
          <w:szCs w:val="22"/>
        </w:rPr>
        <w:t xml:space="preserve">HBF would suggest that </w:t>
      </w:r>
      <w:r w:rsidR="00903841">
        <w:rPr>
          <w:rFonts w:ascii="Arial" w:hAnsi="Arial" w:cs="Arial"/>
          <w:sz w:val="22"/>
          <w:szCs w:val="22"/>
        </w:rPr>
        <w:t xml:space="preserve">point (vii) is deleted rather than amended given that development is required by building </w:t>
      </w:r>
      <w:r w:rsidR="00D37033">
        <w:rPr>
          <w:rFonts w:ascii="Arial" w:hAnsi="Arial" w:cs="Arial"/>
          <w:sz w:val="22"/>
          <w:szCs w:val="22"/>
        </w:rPr>
        <w:t>regulations</w:t>
      </w:r>
      <w:r w:rsidR="00903841">
        <w:rPr>
          <w:rFonts w:ascii="Arial" w:hAnsi="Arial" w:cs="Arial"/>
          <w:sz w:val="22"/>
          <w:szCs w:val="22"/>
        </w:rPr>
        <w:t xml:space="preserve"> to provide the </w:t>
      </w:r>
      <w:r w:rsidR="00D37033">
        <w:rPr>
          <w:rFonts w:ascii="Arial" w:hAnsi="Arial" w:cs="Arial"/>
          <w:sz w:val="22"/>
          <w:szCs w:val="22"/>
        </w:rPr>
        <w:t xml:space="preserve">on-site infrastructure to support access to super-fast broad band where it is available. </w:t>
      </w:r>
    </w:p>
    <w:p w14:paraId="29236956" w14:textId="77777777" w:rsidR="008909A3" w:rsidRDefault="008909A3" w:rsidP="00F96A66">
      <w:pPr>
        <w:spacing w:line="360" w:lineRule="auto"/>
        <w:rPr>
          <w:rFonts w:ascii="Arial" w:hAnsi="Arial" w:cs="Arial"/>
          <w:sz w:val="22"/>
          <w:szCs w:val="22"/>
        </w:rPr>
      </w:pPr>
    </w:p>
    <w:p w14:paraId="0CE41BA6" w14:textId="77777777" w:rsidR="008909A3" w:rsidRDefault="008909A3" w:rsidP="00F96A66">
      <w:pPr>
        <w:spacing w:line="360" w:lineRule="auto"/>
        <w:rPr>
          <w:rFonts w:ascii="Arial" w:hAnsi="Arial" w:cs="Arial"/>
          <w:sz w:val="22"/>
          <w:szCs w:val="22"/>
        </w:rPr>
      </w:pPr>
    </w:p>
    <w:p w14:paraId="58B35FDC" w14:textId="4E8CDC16" w:rsidR="001170BF" w:rsidRPr="00D862A9" w:rsidRDefault="001170BF" w:rsidP="00F96A66">
      <w:pPr>
        <w:spacing w:line="360"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17654AF1" w14:textId="2D9B63AA" w:rsidR="00257167" w:rsidRDefault="001170BF" w:rsidP="00F96A66">
      <w:pPr>
        <w:spacing w:line="360" w:lineRule="auto"/>
        <w:rPr>
          <w:rFonts w:ascii="Arial" w:hAnsi="Arial" w:cs="Arial"/>
          <w:sz w:val="22"/>
          <w:szCs w:val="22"/>
        </w:rPr>
      </w:pPr>
      <w:r w:rsidRPr="00D862A9">
        <w:rPr>
          <w:rFonts w:ascii="Arial" w:hAnsi="Arial" w:cs="Arial"/>
          <w:sz w:val="22"/>
          <w:szCs w:val="22"/>
        </w:rPr>
        <w:t>Planning Manager – Local Plans</w:t>
      </w:r>
      <w:r w:rsidR="00A6394A">
        <w:rPr>
          <w:rFonts w:ascii="Arial" w:hAnsi="Arial" w:cs="Arial"/>
          <w:sz w:val="22"/>
          <w:szCs w:val="22"/>
        </w:rPr>
        <w:t xml:space="preserve"> SE and E</w:t>
      </w:r>
    </w:p>
    <w:p w14:paraId="16E26F49" w14:textId="07D405AF" w:rsidR="00E1228F" w:rsidRDefault="00E1228F" w:rsidP="00F96A66">
      <w:pPr>
        <w:spacing w:line="360" w:lineRule="auto"/>
        <w:rPr>
          <w:rFonts w:ascii="Arial" w:hAnsi="Arial" w:cs="Arial"/>
          <w:sz w:val="22"/>
          <w:szCs w:val="22"/>
        </w:rPr>
      </w:pPr>
      <w:r>
        <w:rPr>
          <w:rFonts w:ascii="Arial" w:hAnsi="Arial" w:cs="Arial"/>
          <w:sz w:val="22"/>
          <w:szCs w:val="22"/>
        </w:rPr>
        <w:br w:type="page"/>
      </w:r>
    </w:p>
    <w:p w14:paraId="39F4C2AE" w14:textId="2C402343" w:rsidR="003C3C7A" w:rsidRPr="003C3C7A" w:rsidRDefault="003C3C7A" w:rsidP="00B942FA">
      <w:pPr>
        <w:spacing w:line="276" w:lineRule="auto"/>
        <w:rPr>
          <w:rFonts w:ascii="Arial" w:hAnsi="Arial" w:cs="Arial"/>
          <w:b/>
          <w:bCs/>
          <w:sz w:val="22"/>
          <w:szCs w:val="22"/>
        </w:rPr>
      </w:pPr>
      <w:r w:rsidRPr="003C3C7A">
        <w:rPr>
          <w:rFonts w:ascii="Arial" w:hAnsi="Arial" w:cs="Arial"/>
          <w:b/>
          <w:bCs/>
          <w:sz w:val="22"/>
          <w:szCs w:val="22"/>
        </w:rPr>
        <w:lastRenderedPageBreak/>
        <w:t>Appendix : Review Policy from Bedford Local Plan 2030.</w:t>
      </w:r>
    </w:p>
    <w:p w14:paraId="22B592A9" w14:textId="77777777" w:rsidR="003C3C7A" w:rsidRDefault="003C3C7A" w:rsidP="00B942FA">
      <w:pPr>
        <w:spacing w:line="276" w:lineRule="auto"/>
        <w:rPr>
          <w:rFonts w:ascii="Arial" w:hAnsi="Arial" w:cs="Arial"/>
          <w:sz w:val="22"/>
          <w:szCs w:val="22"/>
        </w:rPr>
      </w:pPr>
    </w:p>
    <w:p w14:paraId="42A8CDE2" w14:textId="0CCBAE10" w:rsidR="00FA7C65" w:rsidRDefault="003C3C7A" w:rsidP="00B942FA">
      <w:pPr>
        <w:spacing w:line="276" w:lineRule="auto"/>
        <w:rPr>
          <w:rFonts w:ascii="Arial" w:hAnsi="Arial" w:cs="Arial"/>
          <w:sz w:val="22"/>
          <w:szCs w:val="22"/>
        </w:rPr>
      </w:pPr>
      <w:r>
        <w:rPr>
          <w:rFonts w:ascii="Arial" w:hAnsi="Arial" w:cs="Arial"/>
          <w:noProof/>
          <w:sz w:val="22"/>
          <w:szCs w:val="22"/>
        </w:rPr>
        <w:drawing>
          <wp:inline distT="0" distB="0" distL="0" distR="0" wp14:anchorId="7CE14997" wp14:editId="0038CED0">
            <wp:extent cx="4996815" cy="4508204"/>
            <wp:effectExtent l="0" t="0" r="0" b="6985"/>
            <wp:docPr id="1047073215"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73215" name="Picture 2" descr="A close-up of a docum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11469" cy="4521425"/>
                    </a:xfrm>
                    <a:prstGeom prst="rect">
                      <a:avLst/>
                    </a:prstGeom>
                  </pic:spPr>
                </pic:pic>
              </a:graphicData>
            </a:graphic>
          </wp:inline>
        </w:drawing>
      </w:r>
    </w:p>
    <w:p w14:paraId="5468F162" w14:textId="59012965" w:rsidR="00FA7C65" w:rsidRDefault="00FA7C65">
      <w:pPr>
        <w:rPr>
          <w:rFonts w:ascii="Arial" w:hAnsi="Arial" w:cs="Arial"/>
          <w:sz w:val="22"/>
          <w:szCs w:val="22"/>
        </w:rPr>
      </w:pPr>
      <w:r>
        <w:rPr>
          <w:rFonts w:ascii="Arial" w:hAnsi="Arial" w:cs="Arial"/>
          <w:sz w:val="22"/>
          <w:szCs w:val="22"/>
        </w:rPr>
        <w:br w:type="page"/>
      </w:r>
    </w:p>
    <w:p w14:paraId="315EA3B9" w14:textId="77777777" w:rsidR="007B6F2F" w:rsidRDefault="007B6F2F" w:rsidP="00B942FA">
      <w:pPr>
        <w:spacing w:line="276" w:lineRule="auto"/>
        <w:rPr>
          <w:rFonts w:ascii="Arial" w:hAnsi="Arial" w:cs="Arial"/>
          <w:sz w:val="22"/>
          <w:szCs w:val="22"/>
        </w:rPr>
        <w:sectPr w:rsidR="007B6F2F" w:rsidSect="00FF3FB5">
          <w:headerReference w:type="default" r:id="rId13"/>
          <w:footerReference w:type="default" r:id="rId14"/>
          <w:footerReference w:type="first" r:id="rId15"/>
          <w:pgSz w:w="11906" w:h="16838" w:code="9"/>
          <w:pgMar w:top="1440" w:right="1797" w:bottom="1702" w:left="1797" w:header="720" w:footer="0" w:gutter="0"/>
          <w:paperSrc w:first="262" w:other="262"/>
          <w:cols w:space="720"/>
          <w:titlePg/>
          <w:docGrid w:linePitch="272"/>
        </w:sectPr>
      </w:pPr>
    </w:p>
    <w:p w14:paraId="547169AB" w14:textId="571628FD" w:rsidR="00D914AF" w:rsidRPr="001376E1" w:rsidRDefault="00D914AF" w:rsidP="00B942FA">
      <w:pPr>
        <w:spacing w:line="276" w:lineRule="auto"/>
        <w:rPr>
          <w:rFonts w:ascii="Arial" w:hAnsi="Arial" w:cs="Arial"/>
          <w:b/>
          <w:bCs/>
          <w:sz w:val="22"/>
          <w:szCs w:val="22"/>
        </w:rPr>
      </w:pPr>
      <w:r w:rsidRPr="001376E1">
        <w:rPr>
          <w:rFonts w:ascii="Arial" w:hAnsi="Arial" w:cs="Arial"/>
          <w:b/>
          <w:bCs/>
          <w:sz w:val="22"/>
          <w:szCs w:val="22"/>
        </w:rPr>
        <w:lastRenderedPageBreak/>
        <w:t xml:space="preserve">Appendix. </w:t>
      </w:r>
      <w:r w:rsidR="001376E1" w:rsidRPr="001376E1">
        <w:rPr>
          <w:rFonts w:ascii="Arial" w:hAnsi="Arial" w:cs="Arial"/>
          <w:b/>
          <w:bCs/>
          <w:sz w:val="22"/>
          <w:szCs w:val="22"/>
        </w:rPr>
        <w:t xml:space="preserve">Five-year land supply – surplus averaged across remain land plan period. </w:t>
      </w:r>
    </w:p>
    <w:p w14:paraId="1FD0EFC6" w14:textId="77777777" w:rsidR="007B6F2F" w:rsidRDefault="007B6F2F" w:rsidP="00B942FA">
      <w:pPr>
        <w:spacing w:line="276" w:lineRule="auto"/>
        <w:rPr>
          <w:rFonts w:ascii="Arial" w:hAnsi="Arial" w:cs="Arial"/>
          <w:sz w:val="22"/>
          <w:szCs w:val="22"/>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279"/>
        <w:gridCol w:w="795"/>
        <w:gridCol w:w="617"/>
        <w:gridCol w:w="617"/>
        <w:gridCol w:w="617"/>
        <w:gridCol w:w="617"/>
        <w:gridCol w:w="617"/>
        <w:gridCol w:w="617"/>
        <w:gridCol w:w="617"/>
        <w:gridCol w:w="617"/>
        <w:gridCol w:w="617"/>
        <w:gridCol w:w="617"/>
        <w:gridCol w:w="617"/>
        <w:gridCol w:w="617"/>
        <w:gridCol w:w="617"/>
        <w:gridCol w:w="617"/>
        <w:gridCol w:w="617"/>
        <w:gridCol w:w="661"/>
        <w:gridCol w:w="661"/>
      </w:tblGrid>
      <w:tr w:rsidR="007B6F2F" w:rsidRPr="007B6F2F" w14:paraId="0D0E5CC6" w14:textId="77777777" w:rsidTr="00B5056E">
        <w:trPr>
          <w:trHeight w:val="300"/>
        </w:trPr>
        <w:tc>
          <w:tcPr>
            <w:tcW w:w="615" w:type="pct"/>
            <w:tcBorders>
              <w:top w:val="single" w:sz="18" w:space="0" w:color="auto"/>
              <w:bottom w:val="single" w:sz="18" w:space="0" w:color="auto"/>
              <w:right w:val="single" w:sz="18" w:space="0" w:color="auto"/>
            </w:tcBorders>
            <w:shd w:val="clear" w:color="auto" w:fill="auto"/>
            <w:noWrap/>
            <w:vAlign w:val="center"/>
            <w:hideMark/>
          </w:tcPr>
          <w:p w14:paraId="55AB3700" w14:textId="04635DE1" w:rsidR="007B6F2F" w:rsidRPr="007B6F2F" w:rsidRDefault="007B6F2F" w:rsidP="00B5056E">
            <w:pPr>
              <w:rPr>
                <w:rFonts w:asciiTheme="minorHAnsi" w:hAnsiTheme="minorHAnsi" w:cstheme="minorHAnsi"/>
                <w:b/>
                <w:bCs/>
                <w:sz w:val="16"/>
                <w:szCs w:val="16"/>
                <w:lang w:eastAsia="en-GB"/>
              </w:rPr>
            </w:pPr>
            <w:r w:rsidRPr="00B5056E">
              <w:rPr>
                <w:rFonts w:asciiTheme="minorHAnsi" w:hAnsiTheme="minorHAnsi" w:cstheme="minorHAnsi"/>
                <w:b/>
                <w:bCs/>
                <w:sz w:val="16"/>
                <w:szCs w:val="16"/>
                <w:lang w:eastAsia="en-GB"/>
              </w:rPr>
              <w:t>Year</w:t>
            </w:r>
          </w:p>
        </w:tc>
        <w:tc>
          <w:tcPr>
            <w:tcW w:w="511" w:type="pct"/>
            <w:tcBorders>
              <w:top w:val="single" w:sz="18" w:space="0" w:color="auto"/>
              <w:left w:val="single" w:sz="18" w:space="0" w:color="auto"/>
              <w:bottom w:val="single" w:sz="18" w:space="0" w:color="auto"/>
            </w:tcBorders>
            <w:shd w:val="clear" w:color="auto" w:fill="auto"/>
            <w:noWrap/>
            <w:vAlign w:val="center"/>
            <w:hideMark/>
          </w:tcPr>
          <w:p w14:paraId="2469D0A5"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2021/22</w:t>
            </w:r>
          </w:p>
        </w:tc>
        <w:tc>
          <w:tcPr>
            <w:tcW w:w="226" w:type="pct"/>
            <w:tcBorders>
              <w:top w:val="single" w:sz="18" w:space="0" w:color="auto"/>
              <w:bottom w:val="single" w:sz="18" w:space="0" w:color="auto"/>
            </w:tcBorders>
            <w:shd w:val="clear" w:color="auto" w:fill="auto"/>
            <w:noWrap/>
            <w:vAlign w:val="center"/>
            <w:hideMark/>
          </w:tcPr>
          <w:p w14:paraId="0A761506"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22/23</w:t>
            </w:r>
          </w:p>
        </w:tc>
        <w:tc>
          <w:tcPr>
            <w:tcW w:w="226" w:type="pct"/>
            <w:tcBorders>
              <w:top w:val="single" w:sz="18" w:space="0" w:color="auto"/>
              <w:bottom w:val="single" w:sz="18" w:space="0" w:color="auto"/>
            </w:tcBorders>
            <w:shd w:val="clear" w:color="auto" w:fill="auto"/>
            <w:noWrap/>
            <w:vAlign w:val="center"/>
            <w:hideMark/>
          </w:tcPr>
          <w:p w14:paraId="6F113ACE"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23/24</w:t>
            </w:r>
          </w:p>
        </w:tc>
        <w:tc>
          <w:tcPr>
            <w:tcW w:w="226" w:type="pct"/>
            <w:tcBorders>
              <w:top w:val="single" w:sz="18" w:space="0" w:color="auto"/>
              <w:bottom w:val="single" w:sz="18" w:space="0" w:color="auto"/>
            </w:tcBorders>
            <w:shd w:val="clear" w:color="auto" w:fill="auto"/>
            <w:noWrap/>
            <w:vAlign w:val="center"/>
            <w:hideMark/>
          </w:tcPr>
          <w:p w14:paraId="0309D073"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24/25</w:t>
            </w:r>
          </w:p>
        </w:tc>
        <w:tc>
          <w:tcPr>
            <w:tcW w:w="226" w:type="pct"/>
            <w:tcBorders>
              <w:top w:val="single" w:sz="18" w:space="0" w:color="auto"/>
              <w:bottom w:val="single" w:sz="18" w:space="0" w:color="auto"/>
            </w:tcBorders>
            <w:shd w:val="clear" w:color="auto" w:fill="auto"/>
            <w:noWrap/>
            <w:vAlign w:val="center"/>
            <w:hideMark/>
          </w:tcPr>
          <w:p w14:paraId="2A8E7690"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25/26</w:t>
            </w:r>
          </w:p>
        </w:tc>
        <w:tc>
          <w:tcPr>
            <w:tcW w:w="226" w:type="pct"/>
            <w:tcBorders>
              <w:top w:val="single" w:sz="18" w:space="0" w:color="auto"/>
              <w:bottom w:val="single" w:sz="18" w:space="0" w:color="auto"/>
            </w:tcBorders>
            <w:shd w:val="clear" w:color="auto" w:fill="auto"/>
            <w:noWrap/>
            <w:vAlign w:val="center"/>
            <w:hideMark/>
          </w:tcPr>
          <w:p w14:paraId="3667414A"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26/27</w:t>
            </w:r>
          </w:p>
        </w:tc>
        <w:tc>
          <w:tcPr>
            <w:tcW w:w="226" w:type="pct"/>
            <w:tcBorders>
              <w:top w:val="single" w:sz="18" w:space="0" w:color="auto"/>
              <w:bottom w:val="single" w:sz="18" w:space="0" w:color="auto"/>
            </w:tcBorders>
            <w:shd w:val="clear" w:color="auto" w:fill="auto"/>
            <w:noWrap/>
            <w:vAlign w:val="center"/>
            <w:hideMark/>
          </w:tcPr>
          <w:p w14:paraId="32408F99"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27/28</w:t>
            </w:r>
          </w:p>
        </w:tc>
        <w:tc>
          <w:tcPr>
            <w:tcW w:w="226" w:type="pct"/>
            <w:tcBorders>
              <w:top w:val="single" w:sz="18" w:space="0" w:color="auto"/>
              <w:bottom w:val="single" w:sz="18" w:space="0" w:color="auto"/>
            </w:tcBorders>
            <w:shd w:val="clear" w:color="auto" w:fill="auto"/>
            <w:noWrap/>
            <w:vAlign w:val="center"/>
            <w:hideMark/>
          </w:tcPr>
          <w:p w14:paraId="71D1A0A5"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28/29</w:t>
            </w:r>
          </w:p>
        </w:tc>
        <w:tc>
          <w:tcPr>
            <w:tcW w:w="226" w:type="pct"/>
            <w:tcBorders>
              <w:top w:val="single" w:sz="18" w:space="0" w:color="auto"/>
              <w:bottom w:val="single" w:sz="18" w:space="0" w:color="auto"/>
            </w:tcBorders>
            <w:shd w:val="clear" w:color="auto" w:fill="auto"/>
            <w:noWrap/>
            <w:vAlign w:val="center"/>
            <w:hideMark/>
          </w:tcPr>
          <w:p w14:paraId="120CBF66"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29/30</w:t>
            </w:r>
          </w:p>
        </w:tc>
        <w:tc>
          <w:tcPr>
            <w:tcW w:w="226" w:type="pct"/>
            <w:tcBorders>
              <w:top w:val="single" w:sz="18" w:space="0" w:color="auto"/>
              <w:bottom w:val="single" w:sz="18" w:space="0" w:color="auto"/>
            </w:tcBorders>
            <w:shd w:val="clear" w:color="auto" w:fill="auto"/>
            <w:noWrap/>
            <w:vAlign w:val="center"/>
            <w:hideMark/>
          </w:tcPr>
          <w:p w14:paraId="0E175D70"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30/31</w:t>
            </w:r>
          </w:p>
        </w:tc>
        <w:tc>
          <w:tcPr>
            <w:tcW w:w="226" w:type="pct"/>
            <w:tcBorders>
              <w:top w:val="single" w:sz="18" w:space="0" w:color="auto"/>
              <w:bottom w:val="single" w:sz="18" w:space="0" w:color="auto"/>
            </w:tcBorders>
            <w:shd w:val="clear" w:color="auto" w:fill="auto"/>
            <w:noWrap/>
            <w:vAlign w:val="center"/>
            <w:hideMark/>
          </w:tcPr>
          <w:p w14:paraId="316839B3"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31/32</w:t>
            </w:r>
          </w:p>
        </w:tc>
        <w:tc>
          <w:tcPr>
            <w:tcW w:w="226" w:type="pct"/>
            <w:tcBorders>
              <w:top w:val="single" w:sz="18" w:space="0" w:color="auto"/>
              <w:bottom w:val="single" w:sz="18" w:space="0" w:color="auto"/>
            </w:tcBorders>
            <w:shd w:val="clear" w:color="auto" w:fill="auto"/>
            <w:noWrap/>
            <w:vAlign w:val="center"/>
            <w:hideMark/>
          </w:tcPr>
          <w:p w14:paraId="067A61B8"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32/33</w:t>
            </w:r>
          </w:p>
        </w:tc>
        <w:tc>
          <w:tcPr>
            <w:tcW w:w="226" w:type="pct"/>
            <w:tcBorders>
              <w:top w:val="single" w:sz="18" w:space="0" w:color="auto"/>
              <w:bottom w:val="single" w:sz="18" w:space="0" w:color="auto"/>
            </w:tcBorders>
            <w:shd w:val="clear" w:color="auto" w:fill="auto"/>
            <w:noWrap/>
            <w:vAlign w:val="center"/>
            <w:hideMark/>
          </w:tcPr>
          <w:p w14:paraId="20039395"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33/34</w:t>
            </w:r>
          </w:p>
        </w:tc>
        <w:tc>
          <w:tcPr>
            <w:tcW w:w="226" w:type="pct"/>
            <w:tcBorders>
              <w:top w:val="single" w:sz="18" w:space="0" w:color="auto"/>
              <w:bottom w:val="single" w:sz="18" w:space="0" w:color="auto"/>
            </w:tcBorders>
            <w:shd w:val="clear" w:color="auto" w:fill="auto"/>
            <w:noWrap/>
            <w:vAlign w:val="center"/>
            <w:hideMark/>
          </w:tcPr>
          <w:p w14:paraId="44417666"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34/35</w:t>
            </w:r>
          </w:p>
        </w:tc>
        <w:tc>
          <w:tcPr>
            <w:tcW w:w="226" w:type="pct"/>
            <w:tcBorders>
              <w:top w:val="single" w:sz="18" w:space="0" w:color="auto"/>
              <w:bottom w:val="single" w:sz="18" w:space="0" w:color="auto"/>
            </w:tcBorders>
            <w:shd w:val="clear" w:color="auto" w:fill="auto"/>
            <w:noWrap/>
            <w:vAlign w:val="center"/>
            <w:hideMark/>
          </w:tcPr>
          <w:p w14:paraId="1E67F488"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35/36</w:t>
            </w:r>
          </w:p>
        </w:tc>
        <w:tc>
          <w:tcPr>
            <w:tcW w:w="226" w:type="pct"/>
            <w:tcBorders>
              <w:top w:val="single" w:sz="18" w:space="0" w:color="auto"/>
              <w:bottom w:val="single" w:sz="18" w:space="0" w:color="auto"/>
            </w:tcBorders>
            <w:shd w:val="clear" w:color="auto" w:fill="auto"/>
            <w:noWrap/>
            <w:vAlign w:val="center"/>
            <w:hideMark/>
          </w:tcPr>
          <w:p w14:paraId="151CD834"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36/37</w:t>
            </w:r>
          </w:p>
        </w:tc>
        <w:tc>
          <w:tcPr>
            <w:tcW w:w="242" w:type="pct"/>
            <w:tcBorders>
              <w:top w:val="single" w:sz="18" w:space="0" w:color="auto"/>
              <w:bottom w:val="single" w:sz="18" w:space="0" w:color="auto"/>
            </w:tcBorders>
            <w:shd w:val="clear" w:color="auto" w:fill="auto"/>
            <w:noWrap/>
            <w:vAlign w:val="center"/>
            <w:hideMark/>
          </w:tcPr>
          <w:p w14:paraId="0E9F11B8"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37/38</w:t>
            </w:r>
          </w:p>
        </w:tc>
        <w:tc>
          <w:tcPr>
            <w:tcW w:w="242" w:type="pct"/>
            <w:tcBorders>
              <w:top w:val="single" w:sz="18" w:space="0" w:color="auto"/>
              <w:bottom w:val="single" w:sz="18" w:space="0" w:color="auto"/>
            </w:tcBorders>
            <w:shd w:val="clear" w:color="auto" w:fill="auto"/>
            <w:noWrap/>
            <w:vAlign w:val="center"/>
            <w:hideMark/>
          </w:tcPr>
          <w:p w14:paraId="0777769F"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38/39</w:t>
            </w:r>
          </w:p>
        </w:tc>
      </w:tr>
      <w:tr w:rsidR="007B6F2F" w:rsidRPr="007B6F2F" w14:paraId="58568A60" w14:textId="77777777" w:rsidTr="00B5056E">
        <w:trPr>
          <w:trHeight w:val="300"/>
        </w:trPr>
        <w:tc>
          <w:tcPr>
            <w:tcW w:w="615" w:type="pct"/>
            <w:tcBorders>
              <w:top w:val="single" w:sz="18" w:space="0" w:color="auto"/>
              <w:right w:val="single" w:sz="18" w:space="0" w:color="auto"/>
            </w:tcBorders>
            <w:shd w:val="clear" w:color="auto" w:fill="auto"/>
            <w:noWrap/>
            <w:vAlign w:val="center"/>
            <w:hideMark/>
          </w:tcPr>
          <w:p w14:paraId="7B09D571" w14:textId="0A1E8116" w:rsidR="007B6F2F" w:rsidRPr="007B6F2F" w:rsidRDefault="00403D97" w:rsidP="00B5056E">
            <w:pPr>
              <w:rPr>
                <w:rFonts w:asciiTheme="minorHAnsi" w:hAnsiTheme="minorHAnsi" w:cstheme="minorHAnsi"/>
                <w:b/>
                <w:bCs/>
                <w:color w:val="000000"/>
                <w:sz w:val="16"/>
                <w:szCs w:val="16"/>
                <w:lang w:eastAsia="en-GB"/>
              </w:rPr>
            </w:pPr>
            <w:r w:rsidRPr="00B5056E">
              <w:rPr>
                <w:rFonts w:asciiTheme="minorHAnsi" w:hAnsiTheme="minorHAnsi" w:cstheme="minorHAnsi"/>
                <w:b/>
                <w:bCs/>
                <w:color w:val="000000"/>
                <w:sz w:val="16"/>
                <w:szCs w:val="16"/>
                <w:lang w:eastAsia="en-GB"/>
              </w:rPr>
              <w:t>Requirement</w:t>
            </w:r>
          </w:p>
        </w:tc>
        <w:tc>
          <w:tcPr>
            <w:tcW w:w="511" w:type="pct"/>
            <w:tcBorders>
              <w:top w:val="single" w:sz="18" w:space="0" w:color="auto"/>
              <w:left w:val="single" w:sz="18" w:space="0" w:color="auto"/>
            </w:tcBorders>
            <w:shd w:val="clear" w:color="auto" w:fill="auto"/>
            <w:noWrap/>
            <w:vAlign w:val="center"/>
            <w:hideMark/>
          </w:tcPr>
          <w:p w14:paraId="434E5520"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2F2476E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24F16FCE"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5D5AF20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0504A9C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1EF0FA1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1DB778A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229BB9BE"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4B316E2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425C075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5F9181E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6C31155E"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320D958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4E2F63B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0B1067D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tcBorders>
              <w:top w:val="single" w:sz="18" w:space="0" w:color="auto"/>
            </w:tcBorders>
            <w:shd w:val="clear" w:color="auto" w:fill="auto"/>
            <w:noWrap/>
            <w:vAlign w:val="center"/>
            <w:hideMark/>
          </w:tcPr>
          <w:p w14:paraId="0F6CD4E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42" w:type="pct"/>
            <w:tcBorders>
              <w:top w:val="single" w:sz="18" w:space="0" w:color="auto"/>
            </w:tcBorders>
            <w:shd w:val="clear" w:color="auto" w:fill="auto"/>
            <w:noWrap/>
            <w:vAlign w:val="center"/>
            <w:hideMark/>
          </w:tcPr>
          <w:p w14:paraId="5D30C9C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42" w:type="pct"/>
            <w:tcBorders>
              <w:top w:val="single" w:sz="18" w:space="0" w:color="auto"/>
            </w:tcBorders>
            <w:shd w:val="clear" w:color="auto" w:fill="auto"/>
            <w:noWrap/>
            <w:vAlign w:val="center"/>
            <w:hideMark/>
          </w:tcPr>
          <w:p w14:paraId="33B8EC8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r>
      <w:tr w:rsidR="007B6F2F" w:rsidRPr="007B6F2F" w14:paraId="40AB4D2D" w14:textId="77777777" w:rsidTr="00B5056E">
        <w:trPr>
          <w:trHeight w:val="300"/>
        </w:trPr>
        <w:tc>
          <w:tcPr>
            <w:tcW w:w="615" w:type="pct"/>
            <w:tcBorders>
              <w:right w:val="single" w:sz="18" w:space="0" w:color="auto"/>
            </w:tcBorders>
            <w:shd w:val="clear" w:color="auto" w:fill="auto"/>
            <w:noWrap/>
            <w:vAlign w:val="center"/>
            <w:hideMark/>
          </w:tcPr>
          <w:p w14:paraId="0B075979" w14:textId="77777777" w:rsidR="007B6F2F" w:rsidRPr="007B6F2F" w:rsidRDefault="007B6F2F" w:rsidP="00B5056E">
            <w:pP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Cumulative</w:t>
            </w:r>
          </w:p>
        </w:tc>
        <w:tc>
          <w:tcPr>
            <w:tcW w:w="511" w:type="pct"/>
            <w:tcBorders>
              <w:left w:val="single" w:sz="18" w:space="0" w:color="auto"/>
            </w:tcBorders>
            <w:shd w:val="clear" w:color="auto" w:fill="auto"/>
            <w:noWrap/>
            <w:vAlign w:val="center"/>
            <w:hideMark/>
          </w:tcPr>
          <w:p w14:paraId="34002D3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w:t>
            </w:r>
          </w:p>
        </w:tc>
        <w:tc>
          <w:tcPr>
            <w:tcW w:w="226" w:type="pct"/>
            <w:shd w:val="clear" w:color="auto" w:fill="auto"/>
            <w:noWrap/>
            <w:vAlign w:val="center"/>
            <w:hideMark/>
          </w:tcPr>
          <w:p w14:paraId="05D31137"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1150</w:t>
            </w:r>
          </w:p>
        </w:tc>
        <w:tc>
          <w:tcPr>
            <w:tcW w:w="226" w:type="pct"/>
            <w:shd w:val="clear" w:color="auto" w:fill="auto"/>
            <w:noWrap/>
            <w:vAlign w:val="center"/>
            <w:hideMark/>
          </w:tcPr>
          <w:p w14:paraId="0D481EF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1725</w:t>
            </w:r>
          </w:p>
        </w:tc>
        <w:tc>
          <w:tcPr>
            <w:tcW w:w="226" w:type="pct"/>
            <w:shd w:val="clear" w:color="auto" w:fill="auto"/>
            <w:noWrap/>
            <w:vAlign w:val="center"/>
            <w:hideMark/>
          </w:tcPr>
          <w:p w14:paraId="22D95F46"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2300</w:t>
            </w:r>
          </w:p>
        </w:tc>
        <w:tc>
          <w:tcPr>
            <w:tcW w:w="226" w:type="pct"/>
            <w:shd w:val="clear" w:color="auto" w:fill="auto"/>
            <w:noWrap/>
            <w:vAlign w:val="center"/>
            <w:hideMark/>
          </w:tcPr>
          <w:p w14:paraId="0828BCF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1DE66D4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3450</w:t>
            </w:r>
          </w:p>
        </w:tc>
        <w:tc>
          <w:tcPr>
            <w:tcW w:w="226" w:type="pct"/>
            <w:shd w:val="clear" w:color="auto" w:fill="auto"/>
            <w:noWrap/>
            <w:vAlign w:val="center"/>
            <w:hideMark/>
          </w:tcPr>
          <w:p w14:paraId="2BFC22C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4025</w:t>
            </w:r>
          </w:p>
        </w:tc>
        <w:tc>
          <w:tcPr>
            <w:tcW w:w="226" w:type="pct"/>
            <w:shd w:val="clear" w:color="auto" w:fill="auto"/>
            <w:noWrap/>
            <w:vAlign w:val="center"/>
            <w:hideMark/>
          </w:tcPr>
          <w:p w14:paraId="02CFE7A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4600</w:t>
            </w:r>
          </w:p>
        </w:tc>
        <w:tc>
          <w:tcPr>
            <w:tcW w:w="226" w:type="pct"/>
            <w:shd w:val="clear" w:color="auto" w:fill="auto"/>
            <w:noWrap/>
            <w:vAlign w:val="center"/>
            <w:hideMark/>
          </w:tcPr>
          <w:p w14:paraId="7CF752C0"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5175</w:t>
            </w:r>
          </w:p>
        </w:tc>
        <w:tc>
          <w:tcPr>
            <w:tcW w:w="226" w:type="pct"/>
            <w:shd w:val="clear" w:color="auto" w:fill="auto"/>
            <w:noWrap/>
            <w:vAlign w:val="center"/>
            <w:hideMark/>
          </w:tcPr>
          <w:p w14:paraId="372E8278"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5750</w:t>
            </w:r>
          </w:p>
        </w:tc>
        <w:tc>
          <w:tcPr>
            <w:tcW w:w="226" w:type="pct"/>
            <w:shd w:val="clear" w:color="auto" w:fill="auto"/>
            <w:noWrap/>
            <w:vAlign w:val="center"/>
            <w:hideMark/>
          </w:tcPr>
          <w:p w14:paraId="0E50039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6325</w:t>
            </w:r>
          </w:p>
        </w:tc>
        <w:tc>
          <w:tcPr>
            <w:tcW w:w="226" w:type="pct"/>
            <w:shd w:val="clear" w:color="auto" w:fill="auto"/>
            <w:noWrap/>
            <w:vAlign w:val="center"/>
            <w:hideMark/>
          </w:tcPr>
          <w:p w14:paraId="2EA6BB6E"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6900</w:t>
            </w:r>
          </w:p>
        </w:tc>
        <w:tc>
          <w:tcPr>
            <w:tcW w:w="226" w:type="pct"/>
            <w:shd w:val="clear" w:color="auto" w:fill="auto"/>
            <w:noWrap/>
            <w:vAlign w:val="center"/>
            <w:hideMark/>
          </w:tcPr>
          <w:p w14:paraId="4D71434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7475</w:t>
            </w:r>
          </w:p>
        </w:tc>
        <w:tc>
          <w:tcPr>
            <w:tcW w:w="226" w:type="pct"/>
            <w:shd w:val="clear" w:color="auto" w:fill="auto"/>
            <w:noWrap/>
            <w:vAlign w:val="center"/>
            <w:hideMark/>
          </w:tcPr>
          <w:p w14:paraId="0D2FC0B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8050</w:t>
            </w:r>
          </w:p>
        </w:tc>
        <w:tc>
          <w:tcPr>
            <w:tcW w:w="226" w:type="pct"/>
            <w:shd w:val="clear" w:color="auto" w:fill="auto"/>
            <w:noWrap/>
            <w:vAlign w:val="center"/>
            <w:hideMark/>
          </w:tcPr>
          <w:p w14:paraId="7C01A50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8625</w:t>
            </w:r>
          </w:p>
        </w:tc>
        <w:tc>
          <w:tcPr>
            <w:tcW w:w="226" w:type="pct"/>
            <w:shd w:val="clear" w:color="auto" w:fill="auto"/>
            <w:noWrap/>
            <w:vAlign w:val="center"/>
            <w:hideMark/>
          </w:tcPr>
          <w:p w14:paraId="6624778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9200</w:t>
            </w:r>
          </w:p>
        </w:tc>
        <w:tc>
          <w:tcPr>
            <w:tcW w:w="242" w:type="pct"/>
            <w:shd w:val="clear" w:color="auto" w:fill="auto"/>
            <w:noWrap/>
            <w:vAlign w:val="center"/>
            <w:hideMark/>
          </w:tcPr>
          <w:p w14:paraId="200B21A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9775</w:t>
            </w:r>
          </w:p>
        </w:tc>
        <w:tc>
          <w:tcPr>
            <w:tcW w:w="242" w:type="pct"/>
            <w:shd w:val="clear" w:color="auto" w:fill="auto"/>
            <w:noWrap/>
            <w:vAlign w:val="center"/>
            <w:hideMark/>
          </w:tcPr>
          <w:p w14:paraId="6617F8A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10350</w:t>
            </w:r>
          </w:p>
        </w:tc>
      </w:tr>
      <w:tr w:rsidR="007B6F2F" w:rsidRPr="007B6F2F" w14:paraId="32E5A01C" w14:textId="77777777" w:rsidTr="00B5056E">
        <w:trPr>
          <w:trHeight w:val="300"/>
        </w:trPr>
        <w:tc>
          <w:tcPr>
            <w:tcW w:w="615" w:type="pct"/>
            <w:tcBorders>
              <w:right w:val="single" w:sz="18" w:space="0" w:color="auto"/>
            </w:tcBorders>
            <w:shd w:val="clear" w:color="auto" w:fill="auto"/>
            <w:noWrap/>
            <w:vAlign w:val="center"/>
            <w:hideMark/>
          </w:tcPr>
          <w:p w14:paraId="06BC92C4" w14:textId="62EE2465" w:rsidR="007B6F2F" w:rsidRPr="007B6F2F" w:rsidRDefault="00403D97" w:rsidP="00B5056E">
            <w:pPr>
              <w:rPr>
                <w:rFonts w:asciiTheme="minorHAnsi" w:hAnsiTheme="minorHAnsi" w:cstheme="minorHAnsi"/>
                <w:b/>
                <w:bCs/>
                <w:color w:val="000000"/>
                <w:sz w:val="16"/>
                <w:szCs w:val="16"/>
                <w:lang w:eastAsia="en-GB"/>
              </w:rPr>
            </w:pPr>
            <w:r w:rsidRPr="00B5056E">
              <w:rPr>
                <w:rFonts w:asciiTheme="minorHAnsi" w:hAnsiTheme="minorHAnsi" w:cstheme="minorHAnsi"/>
                <w:b/>
                <w:bCs/>
                <w:color w:val="000000"/>
                <w:sz w:val="16"/>
                <w:szCs w:val="16"/>
                <w:lang w:eastAsia="en-GB"/>
              </w:rPr>
              <w:t>Delivery</w:t>
            </w:r>
          </w:p>
        </w:tc>
        <w:tc>
          <w:tcPr>
            <w:tcW w:w="511" w:type="pct"/>
            <w:tcBorders>
              <w:left w:val="single" w:sz="18" w:space="0" w:color="auto"/>
            </w:tcBorders>
            <w:shd w:val="clear" w:color="auto" w:fill="auto"/>
            <w:noWrap/>
            <w:vAlign w:val="center"/>
            <w:hideMark/>
          </w:tcPr>
          <w:p w14:paraId="0B570D66"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712</w:t>
            </w:r>
          </w:p>
        </w:tc>
        <w:tc>
          <w:tcPr>
            <w:tcW w:w="226" w:type="pct"/>
            <w:shd w:val="clear" w:color="auto" w:fill="auto"/>
            <w:noWrap/>
            <w:vAlign w:val="center"/>
            <w:hideMark/>
          </w:tcPr>
          <w:p w14:paraId="25A9AB4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904</w:t>
            </w:r>
          </w:p>
        </w:tc>
        <w:tc>
          <w:tcPr>
            <w:tcW w:w="226" w:type="pct"/>
            <w:shd w:val="clear" w:color="auto" w:fill="auto"/>
            <w:noWrap/>
            <w:vAlign w:val="center"/>
            <w:hideMark/>
          </w:tcPr>
          <w:p w14:paraId="791C25C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607</w:t>
            </w:r>
          </w:p>
        </w:tc>
        <w:tc>
          <w:tcPr>
            <w:tcW w:w="226" w:type="pct"/>
            <w:shd w:val="clear" w:color="auto" w:fill="auto"/>
            <w:noWrap/>
            <w:vAlign w:val="center"/>
            <w:hideMark/>
          </w:tcPr>
          <w:p w14:paraId="47E2D1A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574</w:t>
            </w:r>
          </w:p>
        </w:tc>
        <w:tc>
          <w:tcPr>
            <w:tcW w:w="226" w:type="pct"/>
            <w:shd w:val="clear" w:color="auto" w:fill="auto"/>
            <w:noWrap/>
            <w:vAlign w:val="center"/>
            <w:hideMark/>
          </w:tcPr>
          <w:p w14:paraId="63911B7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649</w:t>
            </w:r>
          </w:p>
        </w:tc>
        <w:tc>
          <w:tcPr>
            <w:tcW w:w="226" w:type="pct"/>
            <w:shd w:val="clear" w:color="auto" w:fill="auto"/>
            <w:noWrap/>
            <w:vAlign w:val="center"/>
            <w:hideMark/>
          </w:tcPr>
          <w:p w14:paraId="50D7F92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522</w:t>
            </w:r>
          </w:p>
        </w:tc>
        <w:tc>
          <w:tcPr>
            <w:tcW w:w="226" w:type="pct"/>
            <w:shd w:val="clear" w:color="auto" w:fill="auto"/>
            <w:noWrap/>
            <w:vAlign w:val="center"/>
            <w:hideMark/>
          </w:tcPr>
          <w:p w14:paraId="087F15B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446</w:t>
            </w:r>
          </w:p>
        </w:tc>
        <w:tc>
          <w:tcPr>
            <w:tcW w:w="226" w:type="pct"/>
            <w:shd w:val="clear" w:color="auto" w:fill="auto"/>
            <w:noWrap/>
            <w:vAlign w:val="center"/>
            <w:hideMark/>
          </w:tcPr>
          <w:p w14:paraId="0E716D5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451</w:t>
            </w:r>
          </w:p>
        </w:tc>
        <w:tc>
          <w:tcPr>
            <w:tcW w:w="226" w:type="pct"/>
            <w:shd w:val="clear" w:color="auto" w:fill="auto"/>
            <w:noWrap/>
            <w:vAlign w:val="center"/>
            <w:hideMark/>
          </w:tcPr>
          <w:p w14:paraId="307D7F1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774</w:t>
            </w:r>
          </w:p>
        </w:tc>
        <w:tc>
          <w:tcPr>
            <w:tcW w:w="226" w:type="pct"/>
            <w:shd w:val="clear" w:color="auto" w:fill="auto"/>
            <w:noWrap/>
            <w:vAlign w:val="center"/>
            <w:hideMark/>
          </w:tcPr>
          <w:p w14:paraId="5981B4A7"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790</w:t>
            </w:r>
          </w:p>
        </w:tc>
        <w:tc>
          <w:tcPr>
            <w:tcW w:w="226" w:type="pct"/>
            <w:shd w:val="clear" w:color="auto" w:fill="auto"/>
            <w:noWrap/>
            <w:vAlign w:val="center"/>
            <w:hideMark/>
          </w:tcPr>
          <w:p w14:paraId="5FFC4AF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839</w:t>
            </w:r>
          </w:p>
        </w:tc>
        <w:tc>
          <w:tcPr>
            <w:tcW w:w="226" w:type="pct"/>
            <w:shd w:val="clear" w:color="auto" w:fill="auto"/>
            <w:noWrap/>
            <w:vAlign w:val="center"/>
            <w:hideMark/>
          </w:tcPr>
          <w:p w14:paraId="6CD435C6"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663</w:t>
            </w:r>
          </w:p>
        </w:tc>
        <w:tc>
          <w:tcPr>
            <w:tcW w:w="226" w:type="pct"/>
            <w:shd w:val="clear" w:color="auto" w:fill="auto"/>
            <w:noWrap/>
            <w:vAlign w:val="center"/>
            <w:hideMark/>
          </w:tcPr>
          <w:p w14:paraId="241FE38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485</w:t>
            </w:r>
          </w:p>
        </w:tc>
        <w:tc>
          <w:tcPr>
            <w:tcW w:w="226" w:type="pct"/>
            <w:shd w:val="clear" w:color="auto" w:fill="auto"/>
            <w:noWrap/>
            <w:vAlign w:val="center"/>
            <w:hideMark/>
          </w:tcPr>
          <w:p w14:paraId="766913A6"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467</w:t>
            </w:r>
          </w:p>
        </w:tc>
        <w:tc>
          <w:tcPr>
            <w:tcW w:w="226" w:type="pct"/>
            <w:shd w:val="clear" w:color="auto" w:fill="auto"/>
            <w:noWrap/>
            <w:vAlign w:val="center"/>
            <w:hideMark/>
          </w:tcPr>
          <w:p w14:paraId="3823C470"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478</w:t>
            </w:r>
          </w:p>
        </w:tc>
        <w:tc>
          <w:tcPr>
            <w:tcW w:w="226" w:type="pct"/>
            <w:shd w:val="clear" w:color="auto" w:fill="auto"/>
            <w:noWrap/>
            <w:vAlign w:val="center"/>
            <w:hideMark/>
          </w:tcPr>
          <w:p w14:paraId="4F33BD5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497</w:t>
            </w:r>
          </w:p>
        </w:tc>
        <w:tc>
          <w:tcPr>
            <w:tcW w:w="242" w:type="pct"/>
            <w:shd w:val="clear" w:color="auto" w:fill="auto"/>
            <w:noWrap/>
            <w:vAlign w:val="center"/>
            <w:hideMark/>
          </w:tcPr>
          <w:p w14:paraId="0EF3F62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485</w:t>
            </w:r>
          </w:p>
        </w:tc>
        <w:tc>
          <w:tcPr>
            <w:tcW w:w="242" w:type="pct"/>
            <w:shd w:val="clear" w:color="auto" w:fill="auto"/>
            <w:noWrap/>
            <w:vAlign w:val="center"/>
            <w:hideMark/>
          </w:tcPr>
          <w:p w14:paraId="4037AC9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409</w:t>
            </w:r>
          </w:p>
        </w:tc>
      </w:tr>
      <w:tr w:rsidR="007B6F2F" w:rsidRPr="007B6F2F" w14:paraId="234899E3" w14:textId="77777777" w:rsidTr="00B5056E">
        <w:trPr>
          <w:trHeight w:val="300"/>
        </w:trPr>
        <w:tc>
          <w:tcPr>
            <w:tcW w:w="615" w:type="pct"/>
            <w:tcBorders>
              <w:right w:val="single" w:sz="18" w:space="0" w:color="auto"/>
            </w:tcBorders>
            <w:shd w:val="clear" w:color="auto" w:fill="auto"/>
            <w:noWrap/>
            <w:vAlign w:val="center"/>
            <w:hideMark/>
          </w:tcPr>
          <w:p w14:paraId="2E3C17EE" w14:textId="77777777" w:rsidR="007B6F2F" w:rsidRPr="007B6F2F" w:rsidRDefault="007B6F2F" w:rsidP="00B5056E">
            <w:pP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Cumulative</w:t>
            </w:r>
          </w:p>
        </w:tc>
        <w:tc>
          <w:tcPr>
            <w:tcW w:w="511" w:type="pct"/>
            <w:tcBorders>
              <w:left w:val="single" w:sz="18" w:space="0" w:color="auto"/>
            </w:tcBorders>
            <w:shd w:val="clear" w:color="auto" w:fill="auto"/>
            <w:noWrap/>
            <w:vAlign w:val="center"/>
            <w:hideMark/>
          </w:tcPr>
          <w:p w14:paraId="526EE36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712</w:t>
            </w:r>
          </w:p>
        </w:tc>
        <w:tc>
          <w:tcPr>
            <w:tcW w:w="226" w:type="pct"/>
            <w:shd w:val="clear" w:color="auto" w:fill="auto"/>
            <w:noWrap/>
            <w:vAlign w:val="center"/>
            <w:hideMark/>
          </w:tcPr>
          <w:p w14:paraId="0317778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1616</w:t>
            </w:r>
          </w:p>
        </w:tc>
        <w:tc>
          <w:tcPr>
            <w:tcW w:w="226" w:type="pct"/>
            <w:shd w:val="clear" w:color="auto" w:fill="auto"/>
            <w:noWrap/>
            <w:vAlign w:val="center"/>
            <w:hideMark/>
          </w:tcPr>
          <w:p w14:paraId="3651795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2223</w:t>
            </w:r>
          </w:p>
        </w:tc>
        <w:tc>
          <w:tcPr>
            <w:tcW w:w="226" w:type="pct"/>
            <w:shd w:val="clear" w:color="auto" w:fill="auto"/>
            <w:noWrap/>
            <w:vAlign w:val="center"/>
            <w:hideMark/>
          </w:tcPr>
          <w:p w14:paraId="6EA7FB4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2797</w:t>
            </w:r>
          </w:p>
        </w:tc>
        <w:tc>
          <w:tcPr>
            <w:tcW w:w="226" w:type="pct"/>
            <w:shd w:val="clear" w:color="auto" w:fill="auto"/>
            <w:noWrap/>
            <w:vAlign w:val="center"/>
            <w:hideMark/>
          </w:tcPr>
          <w:p w14:paraId="3D5EF3D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3446</w:t>
            </w:r>
          </w:p>
        </w:tc>
        <w:tc>
          <w:tcPr>
            <w:tcW w:w="226" w:type="pct"/>
            <w:shd w:val="clear" w:color="auto" w:fill="auto"/>
            <w:noWrap/>
            <w:vAlign w:val="center"/>
            <w:hideMark/>
          </w:tcPr>
          <w:p w14:paraId="7EBE138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3968</w:t>
            </w:r>
          </w:p>
        </w:tc>
        <w:tc>
          <w:tcPr>
            <w:tcW w:w="226" w:type="pct"/>
            <w:shd w:val="clear" w:color="auto" w:fill="auto"/>
            <w:noWrap/>
            <w:vAlign w:val="center"/>
            <w:hideMark/>
          </w:tcPr>
          <w:p w14:paraId="5CFF8B90"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4414</w:t>
            </w:r>
          </w:p>
        </w:tc>
        <w:tc>
          <w:tcPr>
            <w:tcW w:w="226" w:type="pct"/>
            <w:shd w:val="clear" w:color="auto" w:fill="auto"/>
            <w:noWrap/>
            <w:vAlign w:val="center"/>
            <w:hideMark/>
          </w:tcPr>
          <w:p w14:paraId="529A00A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4865</w:t>
            </w:r>
          </w:p>
        </w:tc>
        <w:tc>
          <w:tcPr>
            <w:tcW w:w="226" w:type="pct"/>
            <w:shd w:val="clear" w:color="auto" w:fill="auto"/>
            <w:noWrap/>
            <w:vAlign w:val="center"/>
            <w:hideMark/>
          </w:tcPr>
          <w:p w14:paraId="79172136"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5639</w:t>
            </w:r>
          </w:p>
        </w:tc>
        <w:tc>
          <w:tcPr>
            <w:tcW w:w="226" w:type="pct"/>
            <w:shd w:val="clear" w:color="auto" w:fill="auto"/>
            <w:noWrap/>
            <w:vAlign w:val="center"/>
            <w:hideMark/>
          </w:tcPr>
          <w:p w14:paraId="0762171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6429</w:t>
            </w:r>
          </w:p>
        </w:tc>
        <w:tc>
          <w:tcPr>
            <w:tcW w:w="226" w:type="pct"/>
            <w:shd w:val="clear" w:color="auto" w:fill="auto"/>
            <w:noWrap/>
            <w:vAlign w:val="center"/>
            <w:hideMark/>
          </w:tcPr>
          <w:p w14:paraId="591BCA28"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7268</w:t>
            </w:r>
          </w:p>
        </w:tc>
        <w:tc>
          <w:tcPr>
            <w:tcW w:w="226" w:type="pct"/>
            <w:shd w:val="clear" w:color="auto" w:fill="auto"/>
            <w:noWrap/>
            <w:vAlign w:val="center"/>
            <w:hideMark/>
          </w:tcPr>
          <w:p w14:paraId="1A27385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7931</w:t>
            </w:r>
          </w:p>
        </w:tc>
        <w:tc>
          <w:tcPr>
            <w:tcW w:w="226" w:type="pct"/>
            <w:shd w:val="clear" w:color="auto" w:fill="auto"/>
            <w:noWrap/>
            <w:vAlign w:val="center"/>
            <w:hideMark/>
          </w:tcPr>
          <w:p w14:paraId="6DA983A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8416</w:t>
            </w:r>
          </w:p>
        </w:tc>
        <w:tc>
          <w:tcPr>
            <w:tcW w:w="226" w:type="pct"/>
            <w:shd w:val="clear" w:color="auto" w:fill="auto"/>
            <w:noWrap/>
            <w:vAlign w:val="center"/>
            <w:hideMark/>
          </w:tcPr>
          <w:p w14:paraId="1B2D596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8883</w:t>
            </w:r>
          </w:p>
        </w:tc>
        <w:tc>
          <w:tcPr>
            <w:tcW w:w="226" w:type="pct"/>
            <w:shd w:val="clear" w:color="auto" w:fill="auto"/>
            <w:noWrap/>
            <w:vAlign w:val="center"/>
            <w:hideMark/>
          </w:tcPr>
          <w:p w14:paraId="35CC222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9361</w:t>
            </w:r>
          </w:p>
        </w:tc>
        <w:tc>
          <w:tcPr>
            <w:tcW w:w="226" w:type="pct"/>
            <w:shd w:val="clear" w:color="auto" w:fill="auto"/>
            <w:noWrap/>
            <w:vAlign w:val="center"/>
            <w:hideMark/>
          </w:tcPr>
          <w:p w14:paraId="73463808"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9858</w:t>
            </w:r>
          </w:p>
        </w:tc>
        <w:tc>
          <w:tcPr>
            <w:tcW w:w="242" w:type="pct"/>
            <w:shd w:val="clear" w:color="auto" w:fill="auto"/>
            <w:noWrap/>
            <w:vAlign w:val="center"/>
            <w:hideMark/>
          </w:tcPr>
          <w:p w14:paraId="67E0884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10343</w:t>
            </w:r>
          </w:p>
        </w:tc>
        <w:tc>
          <w:tcPr>
            <w:tcW w:w="242" w:type="pct"/>
            <w:shd w:val="clear" w:color="auto" w:fill="auto"/>
            <w:noWrap/>
            <w:vAlign w:val="center"/>
            <w:hideMark/>
          </w:tcPr>
          <w:p w14:paraId="2BD847D6"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10752</w:t>
            </w:r>
          </w:p>
        </w:tc>
      </w:tr>
      <w:tr w:rsidR="007B6F2F" w:rsidRPr="007B6F2F" w14:paraId="661F3AA5" w14:textId="77777777" w:rsidTr="00B5056E">
        <w:trPr>
          <w:trHeight w:val="300"/>
        </w:trPr>
        <w:tc>
          <w:tcPr>
            <w:tcW w:w="615" w:type="pct"/>
            <w:tcBorders>
              <w:right w:val="single" w:sz="18" w:space="0" w:color="auto"/>
            </w:tcBorders>
            <w:shd w:val="clear" w:color="auto" w:fill="auto"/>
            <w:noWrap/>
            <w:vAlign w:val="center"/>
            <w:hideMark/>
          </w:tcPr>
          <w:p w14:paraId="33445555" w14:textId="45FF571E" w:rsidR="007B6F2F" w:rsidRPr="007B6F2F" w:rsidRDefault="007B6F2F" w:rsidP="00B5056E">
            <w:pPr>
              <w:rPr>
                <w:rFonts w:asciiTheme="minorHAnsi" w:hAnsiTheme="minorHAnsi" w:cstheme="minorHAnsi"/>
                <w:b/>
                <w:bCs/>
                <w:color w:val="000000"/>
                <w:sz w:val="16"/>
                <w:szCs w:val="16"/>
                <w:lang w:eastAsia="en-GB"/>
              </w:rPr>
            </w:pPr>
            <w:r w:rsidRPr="00B5056E">
              <w:rPr>
                <w:rFonts w:asciiTheme="minorHAnsi" w:hAnsiTheme="minorHAnsi" w:cstheme="minorHAnsi"/>
                <w:b/>
                <w:bCs/>
                <w:color w:val="000000"/>
                <w:sz w:val="16"/>
                <w:szCs w:val="16"/>
                <w:lang w:eastAsia="en-GB"/>
              </w:rPr>
              <w:t>Surplus/deficit</w:t>
            </w:r>
          </w:p>
        </w:tc>
        <w:tc>
          <w:tcPr>
            <w:tcW w:w="511" w:type="pct"/>
            <w:tcBorders>
              <w:left w:val="single" w:sz="18" w:space="0" w:color="auto"/>
            </w:tcBorders>
            <w:shd w:val="clear" w:color="auto" w:fill="auto"/>
            <w:noWrap/>
            <w:vAlign w:val="center"/>
            <w:hideMark/>
          </w:tcPr>
          <w:p w14:paraId="5F8A7CB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137</w:t>
            </w:r>
          </w:p>
        </w:tc>
        <w:tc>
          <w:tcPr>
            <w:tcW w:w="226" w:type="pct"/>
            <w:shd w:val="clear" w:color="auto" w:fill="auto"/>
            <w:noWrap/>
            <w:vAlign w:val="center"/>
            <w:hideMark/>
          </w:tcPr>
          <w:p w14:paraId="5EE036D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466</w:t>
            </w:r>
          </w:p>
        </w:tc>
        <w:tc>
          <w:tcPr>
            <w:tcW w:w="226" w:type="pct"/>
            <w:shd w:val="clear" w:color="auto" w:fill="auto"/>
            <w:noWrap/>
            <w:vAlign w:val="center"/>
            <w:hideMark/>
          </w:tcPr>
          <w:p w14:paraId="5AA51B0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498</w:t>
            </w:r>
          </w:p>
        </w:tc>
        <w:tc>
          <w:tcPr>
            <w:tcW w:w="226" w:type="pct"/>
            <w:shd w:val="clear" w:color="auto" w:fill="auto"/>
            <w:noWrap/>
            <w:vAlign w:val="center"/>
            <w:hideMark/>
          </w:tcPr>
          <w:p w14:paraId="0B0A4FC8"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497</w:t>
            </w:r>
          </w:p>
        </w:tc>
        <w:tc>
          <w:tcPr>
            <w:tcW w:w="226" w:type="pct"/>
            <w:shd w:val="clear" w:color="auto" w:fill="auto"/>
            <w:noWrap/>
            <w:vAlign w:val="center"/>
            <w:hideMark/>
          </w:tcPr>
          <w:p w14:paraId="25A371A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571</w:t>
            </w:r>
          </w:p>
        </w:tc>
        <w:tc>
          <w:tcPr>
            <w:tcW w:w="226" w:type="pct"/>
            <w:shd w:val="clear" w:color="auto" w:fill="auto"/>
            <w:noWrap/>
            <w:vAlign w:val="center"/>
            <w:hideMark/>
          </w:tcPr>
          <w:p w14:paraId="0A4B6D1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518</w:t>
            </w:r>
          </w:p>
        </w:tc>
        <w:tc>
          <w:tcPr>
            <w:tcW w:w="226" w:type="pct"/>
            <w:shd w:val="clear" w:color="auto" w:fill="auto"/>
            <w:noWrap/>
            <w:vAlign w:val="center"/>
            <w:hideMark/>
          </w:tcPr>
          <w:p w14:paraId="0AA4839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389</w:t>
            </w:r>
          </w:p>
        </w:tc>
        <w:tc>
          <w:tcPr>
            <w:tcW w:w="226" w:type="pct"/>
            <w:shd w:val="clear" w:color="auto" w:fill="auto"/>
            <w:noWrap/>
            <w:vAlign w:val="center"/>
            <w:hideMark/>
          </w:tcPr>
          <w:p w14:paraId="64580958"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265</w:t>
            </w:r>
          </w:p>
        </w:tc>
        <w:tc>
          <w:tcPr>
            <w:tcW w:w="226" w:type="pct"/>
            <w:shd w:val="clear" w:color="auto" w:fill="auto"/>
            <w:noWrap/>
            <w:vAlign w:val="center"/>
            <w:hideMark/>
          </w:tcPr>
          <w:p w14:paraId="206B739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464</w:t>
            </w:r>
          </w:p>
        </w:tc>
        <w:tc>
          <w:tcPr>
            <w:tcW w:w="226" w:type="pct"/>
            <w:shd w:val="clear" w:color="auto" w:fill="auto"/>
            <w:noWrap/>
            <w:vAlign w:val="center"/>
            <w:hideMark/>
          </w:tcPr>
          <w:p w14:paraId="553E8D5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679</w:t>
            </w:r>
          </w:p>
        </w:tc>
        <w:tc>
          <w:tcPr>
            <w:tcW w:w="226" w:type="pct"/>
            <w:shd w:val="clear" w:color="auto" w:fill="auto"/>
            <w:noWrap/>
            <w:vAlign w:val="center"/>
            <w:hideMark/>
          </w:tcPr>
          <w:p w14:paraId="5BC258B7"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943</w:t>
            </w:r>
          </w:p>
        </w:tc>
        <w:tc>
          <w:tcPr>
            <w:tcW w:w="226" w:type="pct"/>
            <w:shd w:val="clear" w:color="auto" w:fill="auto"/>
            <w:noWrap/>
            <w:vAlign w:val="center"/>
            <w:hideMark/>
          </w:tcPr>
          <w:p w14:paraId="49D2513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1031</w:t>
            </w:r>
          </w:p>
        </w:tc>
        <w:tc>
          <w:tcPr>
            <w:tcW w:w="226" w:type="pct"/>
            <w:shd w:val="clear" w:color="auto" w:fill="auto"/>
            <w:noWrap/>
            <w:vAlign w:val="center"/>
            <w:hideMark/>
          </w:tcPr>
          <w:p w14:paraId="248200D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941</w:t>
            </w:r>
          </w:p>
        </w:tc>
        <w:tc>
          <w:tcPr>
            <w:tcW w:w="226" w:type="pct"/>
            <w:shd w:val="clear" w:color="auto" w:fill="auto"/>
            <w:noWrap/>
            <w:vAlign w:val="center"/>
            <w:hideMark/>
          </w:tcPr>
          <w:p w14:paraId="2A6841B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833</w:t>
            </w:r>
          </w:p>
        </w:tc>
        <w:tc>
          <w:tcPr>
            <w:tcW w:w="226" w:type="pct"/>
            <w:shd w:val="clear" w:color="auto" w:fill="auto"/>
            <w:noWrap/>
            <w:vAlign w:val="center"/>
            <w:hideMark/>
          </w:tcPr>
          <w:p w14:paraId="7CAD764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736</w:t>
            </w:r>
          </w:p>
        </w:tc>
        <w:tc>
          <w:tcPr>
            <w:tcW w:w="226" w:type="pct"/>
            <w:shd w:val="clear" w:color="auto" w:fill="auto"/>
            <w:noWrap/>
            <w:vAlign w:val="center"/>
            <w:hideMark/>
          </w:tcPr>
          <w:p w14:paraId="25A02EA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658</w:t>
            </w:r>
          </w:p>
        </w:tc>
        <w:tc>
          <w:tcPr>
            <w:tcW w:w="242" w:type="pct"/>
            <w:shd w:val="clear" w:color="auto" w:fill="auto"/>
            <w:noWrap/>
            <w:vAlign w:val="center"/>
            <w:hideMark/>
          </w:tcPr>
          <w:p w14:paraId="0D29BB6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568</w:t>
            </w:r>
          </w:p>
        </w:tc>
        <w:tc>
          <w:tcPr>
            <w:tcW w:w="242" w:type="pct"/>
            <w:shd w:val="clear" w:color="auto" w:fill="auto"/>
            <w:noWrap/>
            <w:vAlign w:val="center"/>
            <w:hideMark/>
          </w:tcPr>
          <w:p w14:paraId="1507C50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402</w:t>
            </w:r>
          </w:p>
        </w:tc>
      </w:tr>
      <w:tr w:rsidR="007B6F2F" w:rsidRPr="007B6F2F" w14:paraId="6C39F8A8" w14:textId="77777777" w:rsidTr="00B5056E">
        <w:trPr>
          <w:trHeight w:val="300"/>
        </w:trPr>
        <w:tc>
          <w:tcPr>
            <w:tcW w:w="615" w:type="pct"/>
            <w:tcBorders>
              <w:right w:val="single" w:sz="18" w:space="0" w:color="auto"/>
            </w:tcBorders>
            <w:shd w:val="clear" w:color="auto" w:fill="auto"/>
            <w:noWrap/>
            <w:vAlign w:val="center"/>
            <w:hideMark/>
          </w:tcPr>
          <w:p w14:paraId="5719AB40" w14:textId="309B1F63" w:rsidR="007B6F2F" w:rsidRPr="007B6F2F" w:rsidRDefault="007B6F2F" w:rsidP="00B5056E">
            <w:pPr>
              <w:rPr>
                <w:rFonts w:asciiTheme="minorHAnsi" w:hAnsiTheme="minorHAnsi" w:cstheme="minorHAnsi"/>
                <w:b/>
                <w:bCs/>
                <w:color w:val="000000"/>
                <w:sz w:val="16"/>
                <w:szCs w:val="16"/>
                <w:lang w:eastAsia="en-GB"/>
              </w:rPr>
            </w:pPr>
            <w:r w:rsidRPr="00B5056E">
              <w:rPr>
                <w:rFonts w:asciiTheme="minorHAnsi" w:hAnsiTheme="minorHAnsi" w:cstheme="minorHAnsi"/>
                <w:b/>
                <w:bCs/>
                <w:color w:val="000000"/>
                <w:sz w:val="16"/>
                <w:szCs w:val="16"/>
                <w:lang w:eastAsia="en-GB"/>
              </w:rPr>
              <w:t>5-year</w:t>
            </w:r>
            <w:r w:rsidRPr="007B6F2F">
              <w:rPr>
                <w:rFonts w:asciiTheme="minorHAnsi" w:hAnsiTheme="minorHAnsi" w:cstheme="minorHAnsi"/>
                <w:b/>
                <w:bCs/>
                <w:color w:val="000000"/>
                <w:sz w:val="16"/>
                <w:szCs w:val="16"/>
                <w:lang w:eastAsia="en-GB"/>
              </w:rPr>
              <w:t xml:space="preserve"> requirement</w:t>
            </w:r>
          </w:p>
        </w:tc>
        <w:tc>
          <w:tcPr>
            <w:tcW w:w="511" w:type="pct"/>
            <w:tcBorders>
              <w:left w:val="single" w:sz="18" w:space="0" w:color="auto"/>
            </w:tcBorders>
            <w:shd w:val="clear" w:color="auto" w:fill="auto"/>
            <w:noWrap/>
            <w:vAlign w:val="center"/>
            <w:hideMark/>
          </w:tcPr>
          <w:p w14:paraId="0ECB91E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32A890E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07CC9750"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4ED588E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70F2635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1DD9840E"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3CABCE5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26180E3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03E529D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098223B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60A14027"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2527111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66C7F2B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1FB7B31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655D89C9" w14:textId="77777777" w:rsidR="007B6F2F" w:rsidRPr="007B6F2F" w:rsidRDefault="007B6F2F" w:rsidP="00B5056E">
            <w:pPr>
              <w:jc w:val="center"/>
              <w:rPr>
                <w:rFonts w:asciiTheme="minorHAnsi" w:hAnsiTheme="minorHAnsi" w:cstheme="minorHAnsi"/>
                <w:color w:val="000000"/>
                <w:sz w:val="16"/>
                <w:szCs w:val="16"/>
                <w:lang w:eastAsia="en-GB"/>
              </w:rPr>
            </w:pPr>
          </w:p>
        </w:tc>
        <w:tc>
          <w:tcPr>
            <w:tcW w:w="226" w:type="pct"/>
            <w:shd w:val="clear" w:color="auto" w:fill="auto"/>
            <w:noWrap/>
            <w:vAlign w:val="center"/>
            <w:hideMark/>
          </w:tcPr>
          <w:p w14:paraId="507BD277"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3945EF08"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4AEFCA8A" w14:textId="77777777" w:rsidR="007B6F2F" w:rsidRPr="007B6F2F" w:rsidRDefault="007B6F2F" w:rsidP="00B5056E">
            <w:pPr>
              <w:jc w:val="center"/>
              <w:rPr>
                <w:rFonts w:asciiTheme="minorHAnsi" w:hAnsiTheme="minorHAnsi" w:cstheme="minorHAnsi"/>
                <w:sz w:val="16"/>
                <w:szCs w:val="16"/>
                <w:lang w:eastAsia="en-GB"/>
              </w:rPr>
            </w:pPr>
          </w:p>
        </w:tc>
      </w:tr>
      <w:tr w:rsidR="007B6F2F" w:rsidRPr="007B6F2F" w14:paraId="47BC3FC4" w14:textId="77777777" w:rsidTr="00B5056E">
        <w:trPr>
          <w:trHeight w:val="300"/>
        </w:trPr>
        <w:tc>
          <w:tcPr>
            <w:tcW w:w="615" w:type="pct"/>
            <w:tcBorders>
              <w:right w:val="single" w:sz="18" w:space="0" w:color="auto"/>
            </w:tcBorders>
            <w:shd w:val="clear" w:color="auto" w:fill="auto"/>
            <w:noWrap/>
            <w:vAlign w:val="center"/>
            <w:hideMark/>
          </w:tcPr>
          <w:p w14:paraId="07052DC9" w14:textId="48486C91" w:rsidR="007B6F2F" w:rsidRPr="007B6F2F" w:rsidRDefault="00403D97" w:rsidP="00B5056E">
            <w:pPr>
              <w:rPr>
                <w:rFonts w:asciiTheme="minorHAnsi" w:hAnsiTheme="minorHAnsi" w:cstheme="minorHAnsi"/>
                <w:b/>
                <w:bCs/>
                <w:color w:val="000000"/>
                <w:sz w:val="16"/>
                <w:szCs w:val="16"/>
                <w:lang w:eastAsia="en-GB"/>
              </w:rPr>
            </w:pPr>
            <w:r w:rsidRPr="00B5056E">
              <w:rPr>
                <w:rFonts w:asciiTheme="minorHAnsi" w:hAnsiTheme="minorHAnsi" w:cstheme="minorHAnsi"/>
                <w:b/>
                <w:bCs/>
                <w:color w:val="000000"/>
                <w:sz w:val="16"/>
                <w:szCs w:val="16"/>
                <w:lang w:eastAsia="en-GB"/>
              </w:rPr>
              <w:t>Add deficit/</w:t>
            </w:r>
            <w:r w:rsidR="007B6F2F" w:rsidRPr="007B6F2F">
              <w:rPr>
                <w:rFonts w:asciiTheme="minorHAnsi" w:hAnsiTheme="minorHAnsi" w:cstheme="minorHAnsi"/>
                <w:b/>
                <w:bCs/>
                <w:color w:val="000000"/>
                <w:sz w:val="16"/>
                <w:szCs w:val="16"/>
                <w:lang w:eastAsia="en-GB"/>
              </w:rPr>
              <w:t>remove surplus</w:t>
            </w:r>
          </w:p>
        </w:tc>
        <w:tc>
          <w:tcPr>
            <w:tcW w:w="511" w:type="pct"/>
            <w:tcBorders>
              <w:left w:val="single" w:sz="18" w:space="0" w:color="auto"/>
            </w:tcBorders>
            <w:shd w:val="clear" w:color="auto" w:fill="auto"/>
            <w:noWrap/>
            <w:vAlign w:val="center"/>
            <w:hideMark/>
          </w:tcPr>
          <w:p w14:paraId="6CBA2918"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2875</w:t>
            </w:r>
          </w:p>
        </w:tc>
        <w:tc>
          <w:tcPr>
            <w:tcW w:w="226" w:type="pct"/>
            <w:shd w:val="clear" w:color="auto" w:fill="auto"/>
            <w:noWrap/>
            <w:vAlign w:val="center"/>
            <w:hideMark/>
          </w:tcPr>
          <w:p w14:paraId="3CC77CF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2835</w:t>
            </w:r>
          </w:p>
        </w:tc>
        <w:tc>
          <w:tcPr>
            <w:tcW w:w="226" w:type="pct"/>
            <w:shd w:val="clear" w:color="auto" w:fill="auto"/>
            <w:noWrap/>
            <w:vAlign w:val="center"/>
            <w:hideMark/>
          </w:tcPr>
          <w:p w14:paraId="4C113A3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2729</w:t>
            </w:r>
          </w:p>
        </w:tc>
        <w:tc>
          <w:tcPr>
            <w:tcW w:w="226" w:type="pct"/>
            <w:shd w:val="clear" w:color="auto" w:fill="auto"/>
            <w:noWrap/>
            <w:vAlign w:val="center"/>
            <w:hideMark/>
          </w:tcPr>
          <w:p w14:paraId="4BF4065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2709</w:t>
            </w:r>
          </w:p>
        </w:tc>
        <w:tc>
          <w:tcPr>
            <w:tcW w:w="226" w:type="pct"/>
            <w:shd w:val="clear" w:color="auto" w:fill="auto"/>
            <w:noWrap/>
            <w:vAlign w:val="center"/>
            <w:hideMark/>
          </w:tcPr>
          <w:p w14:paraId="6BA3D25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2698</w:t>
            </w:r>
          </w:p>
        </w:tc>
        <w:tc>
          <w:tcPr>
            <w:tcW w:w="226" w:type="pct"/>
            <w:shd w:val="clear" w:color="auto" w:fill="auto"/>
            <w:noWrap/>
            <w:vAlign w:val="center"/>
            <w:hideMark/>
          </w:tcPr>
          <w:p w14:paraId="06C9C0F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2655</w:t>
            </w:r>
          </w:p>
        </w:tc>
        <w:tc>
          <w:tcPr>
            <w:tcW w:w="226" w:type="pct"/>
            <w:shd w:val="clear" w:color="auto" w:fill="auto"/>
            <w:noWrap/>
            <w:vAlign w:val="center"/>
            <w:hideMark/>
          </w:tcPr>
          <w:p w14:paraId="04FD2172"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2659</w:t>
            </w:r>
          </w:p>
        </w:tc>
        <w:tc>
          <w:tcPr>
            <w:tcW w:w="226" w:type="pct"/>
            <w:shd w:val="clear" w:color="auto" w:fill="auto"/>
            <w:noWrap/>
            <w:vAlign w:val="center"/>
            <w:hideMark/>
          </w:tcPr>
          <w:p w14:paraId="7DF8D818"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2698</w:t>
            </w:r>
          </w:p>
        </w:tc>
        <w:tc>
          <w:tcPr>
            <w:tcW w:w="226" w:type="pct"/>
            <w:shd w:val="clear" w:color="auto" w:fill="auto"/>
            <w:noWrap/>
            <w:vAlign w:val="center"/>
            <w:hideMark/>
          </w:tcPr>
          <w:p w14:paraId="4E870E1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2743</w:t>
            </w:r>
          </w:p>
        </w:tc>
        <w:tc>
          <w:tcPr>
            <w:tcW w:w="226" w:type="pct"/>
            <w:shd w:val="clear" w:color="auto" w:fill="auto"/>
            <w:noWrap/>
            <w:vAlign w:val="center"/>
            <w:hideMark/>
          </w:tcPr>
          <w:p w14:paraId="2E33C466"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2617</w:t>
            </w:r>
          </w:p>
        </w:tc>
        <w:tc>
          <w:tcPr>
            <w:tcW w:w="226" w:type="pct"/>
            <w:shd w:val="clear" w:color="auto" w:fill="auto"/>
            <w:noWrap/>
            <w:vAlign w:val="center"/>
            <w:hideMark/>
          </w:tcPr>
          <w:p w14:paraId="13023A3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2451</w:t>
            </w:r>
          </w:p>
        </w:tc>
        <w:tc>
          <w:tcPr>
            <w:tcW w:w="226" w:type="pct"/>
            <w:shd w:val="clear" w:color="auto" w:fill="auto"/>
            <w:noWrap/>
            <w:vAlign w:val="center"/>
            <w:hideMark/>
          </w:tcPr>
          <w:p w14:paraId="577F726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2201</w:t>
            </w:r>
          </w:p>
        </w:tc>
        <w:tc>
          <w:tcPr>
            <w:tcW w:w="226" w:type="pct"/>
            <w:shd w:val="clear" w:color="auto" w:fill="auto"/>
            <w:noWrap/>
            <w:vAlign w:val="center"/>
            <w:hideMark/>
          </w:tcPr>
          <w:p w14:paraId="4F546B8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2016</w:t>
            </w:r>
          </w:p>
        </w:tc>
        <w:tc>
          <w:tcPr>
            <w:tcW w:w="226" w:type="pct"/>
            <w:shd w:val="clear" w:color="auto" w:fill="auto"/>
            <w:noWrap/>
            <w:vAlign w:val="center"/>
            <w:hideMark/>
          </w:tcPr>
          <w:p w14:paraId="74AED86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1934</w:t>
            </w:r>
          </w:p>
        </w:tc>
        <w:tc>
          <w:tcPr>
            <w:tcW w:w="226" w:type="pct"/>
            <w:shd w:val="clear" w:color="auto" w:fill="auto"/>
            <w:noWrap/>
            <w:vAlign w:val="center"/>
            <w:hideMark/>
          </w:tcPr>
          <w:p w14:paraId="72B12C54" w14:textId="77777777" w:rsidR="007B6F2F" w:rsidRPr="007B6F2F" w:rsidRDefault="007B6F2F" w:rsidP="00B5056E">
            <w:pPr>
              <w:jc w:val="center"/>
              <w:rPr>
                <w:rFonts w:asciiTheme="minorHAnsi" w:hAnsiTheme="minorHAnsi" w:cstheme="minorHAnsi"/>
                <w:color w:val="000000"/>
                <w:sz w:val="16"/>
                <w:szCs w:val="16"/>
                <w:lang w:eastAsia="en-GB"/>
              </w:rPr>
            </w:pPr>
          </w:p>
        </w:tc>
        <w:tc>
          <w:tcPr>
            <w:tcW w:w="226" w:type="pct"/>
            <w:shd w:val="clear" w:color="auto" w:fill="auto"/>
            <w:noWrap/>
            <w:vAlign w:val="center"/>
            <w:hideMark/>
          </w:tcPr>
          <w:p w14:paraId="11FE79D8"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6A951986"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75012383" w14:textId="77777777" w:rsidR="007B6F2F" w:rsidRPr="007B6F2F" w:rsidRDefault="007B6F2F" w:rsidP="00B5056E">
            <w:pPr>
              <w:jc w:val="center"/>
              <w:rPr>
                <w:rFonts w:asciiTheme="minorHAnsi" w:hAnsiTheme="minorHAnsi" w:cstheme="minorHAnsi"/>
                <w:sz w:val="16"/>
                <w:szCs w:val="16"/>
                <w:lang w:eastAsia="en-GB"/>
              </w:rPr>
            </w:pPr>
          </w:p>
        </w:tc>
      </w:tr>
      <w:tr w:rsidR="007B6F2F" w:rsidRPr="007B6F2F" w14:paraId="73AD6F61" w14:textId="77777777" w:rsidTr="00B5056E">
        <w:trPr>
          <w:trHeight w:val="300"/>
        </w:trPr>
        <w:tc>
          <w:tcPr>
            <w:tcW w:w="615" w:type="pct"/>
            <w:tcBorders>
              <w:right w:val="single" w:sz="18" w:space="0" w:color="auto"/>
            </w:tcBorders>
            <w:shd w:val="clear" w:color="auto" w:fill="auto"/>
            <w:noWrap/>
            <w:vAlign w:val="center"/>
            <w:hideMark/>
          </w:tcPr>
          <w:p w14:paraId="1BE720B1" w14:textId="77777777" w:rsidR="007B6F2F" w:rsidRPr="007B6F2F" w:rsidRDefault="007B6F2F" w:rsidP="00B5056E">
            <w:pP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Buffer</w:t>
            </w:r>
          </w:p>
        </w:tc>
        <w:tc>
          <w:tcPr>
            <w:tcW w:w="511" w:type="pct"/>
            <w:tcBorders>
              <w:left w:val="single" w:sz="18" w:space="0" w:color="auto"/>
            </w:tcBorders>
            <w:shd w:val="clear" w:color="auto" w:fill="auto"/>
            <w:noWrap/>
            <w:vAlign w:val="center"/>
            <w:hideMark/>
          </w:tcPr>
          <w:p w14:paraId="0CDDDBA7"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144</w:t>
            </w:r>
          </w:p>
        </w:tc>
        <w:tc>
          <w:tcPr>
            <w:tcW w:w="226" w:type="pct"/>
            <w:shd w:val="clear" w:color="auto" w:fill="auto"/>
            <w:noWrap/>
            <w:vAlign w:val="center"/>
            <w:hideMark/>
          </w:tcPr>
          <w:p w14:paraId="364055B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142</w:t>
            </w:r>
          </w:p>
        </w:tc>
        <w:tc>
          <w:tcPr>
            <w:tcW w:w="226" w:type="pct"/>
            <w:shd w:val="clear" w:color="auto" w:fill="auto"/>
            <w:noWrap/>
            <w:vAlign w:val="center"/>
            <w:hideMark/>
          </w:tcPr>
          <w:p w14:paraId="5D25CC6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136</w:t>
            </w:r>
          </w:p>
        </w:tc>
        <w:tc>
          <w:tcPr>
            <w:tcW w:w="226" w:type="pct"/>
            <w:shd w:val="clear" w:color="auto" w:fill="auto"/>
            <w:noWrap/>
            <w:vAlign w:val="center"/>
            <w:hideMark/>
          </w:tcPr>
          <w:p w14:paraId="0E1EC98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135</w:t>
            </w:r>
          </w:p>
        </w:tc>
        <w:tc>
          <w:tcPr>
            <w:tcW w:w="226" w:type="pct"/>
            <w:shd w:val="clear" w:color="auto" w:fill="auto"/>
            <w:noWrap/>
            <w:vAlign w:val="center"/>
            <w:hideMark/>
          </w:tcPr>
          <w:p w14:paraId="4E27336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135</w:t>
            </w:r>
          </w:p>
        </w:tc>
        <w:tc>
          <w:tcPr>
            <w:tcW w:w="226" w:type="pct"/>
            <w:shd w:val="clear" w:color="auto" w:fill="auto"/>
            <w:noWrap/>
            <w:vAlign w:val="center"/>
            <w:hideMark/>
          </w:tcPr>
          <w:p w14:paraId="50EB3EE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133</w:t>
            </w:r>
          </w:p>
        </w:tc>
        <w:tc>
          <w:tcPr>
            <w:tcW w:w="226" w:type="pct"/>
            <w:shd w:val="clear" w:color="auto" w:fill="auto"/>
            <w:noWrap/>
            <w:vAlign w:val="center"/>
            <w:hideMark/>
          </w:tcPr>
          <w:p w14:paraId="6BD8C08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133</w:t>
            </w:r>
          </w:p>
        </w:tc>
        <w:tc>
          <w:tcPr>
            <w:tcW w:w="226" w:type="pct"/>
            <w:shd w:val="clear" w:color="auto" w:fill="auto"/>
            <w:noWrap/>
            <w:vAlign w:val="center"/>
            <w:hideMark/>
          </w:tcPr>
          <w:p w14:paraId="755F56CE"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135</w:t>
            </w:r>
          </w:p>
        </w:tc>
        <w:tc>
          <w:tcPr>
            <w:tcW w:w="226" w:type="pct"/>
            <w:shd w:val="clear" w:color="auto" w:fill="auto"/>
            <w:noWrap/>
            <w:vAlign w:val="center"/>
            <w:hideMark/>
          </w:tcPr>
          <w:p w14:paraId="65921398"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137</w:t>
            </w:r>
          </w:p>
        </w:tc>
        <w:tc>
          <w:tcPr>
            <w:tcW w:w="226" w:type="pct"/>
            <w:shd w:val="clear" w:color="auto" w:fill="auto"/>
            <w:noWrap/>
            <w:vAlign w:val="center"/>
            <w:hideMark/>
          </w:tcPr>
          <w:p w14:paraId="3006AAA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131</w:t>
            </w:r>
          </w:p>
        </w:tc>
        <w:tc>
          <w:tcPr>
            <w:tcW w:w="226" w:type="pct"/>
            <w:shd w:val="clear" w:color="auto" w:fill="auto"/>
            <w:noWrap/>
            <w:vAlign w:val="center"/>
            <w:hideMark/>
          </w:tcPr>
          <w:p w14:paraId="0ACE7D60"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123</w:t>
            </w:r>
          </w:p>
        </w:tc>
        <w:tc>
          <w:tcPr>
            <w:tcW w:w="226" w:type="pct"/>
            <w:shd w:val="clear" w:color="auto" w:fill="auto"/>
            <w:noWrap/>
            <w:vAlign w:val="center"/>
            <w:hideMark/>
          </w:tcPr>
          <w:p w14:paraId="2EAC8D2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110</w:t>
            </w:r>
          </w:p>
        </w:tc>
        <w:tc>
          <w:tcPr>
            <w:tcW w:w="226" w:type="pct"/>
            <w:shd w:val="clear" w:color="auto" w:fill="auto"/>
            <w:noWrap/>
            <w:vAlign w:val="center"/>
            <w:hideMark/>
          </w:tcPr>
          <w:p w14:paraId="2CAF599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101</w:t>
            </w:r>
          </w:p>
        </w:tc>
        <w:tc>
          <w:tcPr>
            <w:tcW w:w="226" w:type="pct"/>
            <w:shd w:val="clear" w:color="auto" w:fill="auto"/>
            <w:noWrap/>
            <w:vAlign w:val="center"/>
            <w:hideMark/>
          </w:tcPr>
          <w:p w14:paraId="5E0C186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97</w:t>
            </w:r>
          </w:p>
        </w:tc>
        <w:tc>
          <w:tcPr>
            <w:tcW w:w="226" w:type="pct"/>
            <w:shd w:val="clear" w:color="auto" w:fill="auto"/>
            <w:noWrap/>
            <w:vAlign w:val="center"/>
            <w:hideMark/>
          </w:tcPr>
          <w:p w14:paraId="1111ADAC" w14:textId="77777777" w:rsidR="007B6F2F" w:rsidRPr="007B6F2F" w:rsidRDefault="007B6F2F" w:rsidP="00B5056E">
            <w:pPr>
              <w:jc w:val="center"/>
              <w:rPr>
                <w:rFonts w:asciiTheme="minorHAnsi" w:hAnsiTheme="minorHAnsi" w:cstheme="minorHAnsi"/>
                <w:color w:val="000000"/>
                <w:sz w:val="16"/>
                <w:szCs w:val="16"/>
                <w:lang w:eastAsia="en-GB"/>
              </w:rPr>
            </w:pPr>
          </w:p>
        </w:tc>
        <w:tc>
          <w:tcPr>
            <w:tcW w:w="226" w:type="pct"/>
            <w:shd w:val="clear" w:color="auto" w:fill="auto"/>
            <w:noWrap/>
            <w:vAlign w:val="center"/>
            <w:hideMark/>
          </w:tcPr>
          <w:p w14:paraId="6E404911"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33400A1C"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3AD0B49B" w14:textId="77777777" w:rsidR="007B6F2F" w:rsidRPr="007B6F2F" w:rsidRDefault="007B6F2F" w:rsidP="00B5056E">
            <w:pPr>
              <w:jc w:val="center"/>
              <w:rPr>
                <w:rFonts w:asciiTheme="minorHAnsi" w:hAnsiTheme="minorHAnsi" w:cstheme="minorHAnsi"/>
                <w:sz w:val="16"/>
                <w:szCs w:val="16"/>
                <w:lang w:eastAsia="en-GB"/>
              </w:rPr>
            </w:pPr>
          </w:p>
        </w:tc>
      </w:tr>
      <w:tr w:rsidR="007B6F2F" w:rsidRPr="007B6F2F" w14:paraId="3F2B76D1" w14:textId="77777777" w:rsidTr="00B5056E">
        <w:trPr>
          <w:trHeight w:val="300"/>
        </w:trPr>
        <w:tc>
          <w:tcPr>
            <w:tcW w:w="615" w:type="pct"/>
            <w:tcBorders>
              <w:right w:val="single" w:sz="18" w:space="0" w:color="auto"/>
            </w:tcBorders>
            <w:shd w:val="clear" w:color="auto" w:fill="auto"/>
            <w:noWrap/>
            <w:vAlign w:val="center"/>
            <w:hideMark/>
          </w:tcPr>
          <w:p w14:paraId="5F96CA9B" w14:textId="77777777" w:rsidR="007B6F2F" w:rsidRPr="007B6F2F" w:rsidRDefault="007B6F2F" w:rsidP="00B5056E">
            <w:pP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Total req</w:t>
            </w:r>
          </w:p>
        </w:tc>
        <w:tc>
          <w:tcPr>
            <w:tcW w:w="511" w:type="pct"/>
            <w:tcBorders>
              <w:left w:val="single" w:sz="18" w:space="0" w:color="auto"/>
            </w:tcBorders>
            <w:shd w:val="clear" w:color="auto" w:fill="auto"/>
            <w:noWrap/>
            <w:vAlign w:val="center"/>
            <w:hideMark/>
          </w:tcPr>
          <w:p w14:paraId="36E78B9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3019</w:t>
            </w:r>
          </w:p>
        </w:tc>
        <w:tc>
          <w:tcPr>
            <w:tcW w:w="226" w:type="pct"/>
            <w:shd w:val="clear" w:color="auto" w:fill="auto"/>
            <w:noWrap/>
            <w:vAlign w:val="center"/>
            <w:hideMark/>
          </w:tcPr>
          <w:p w14:paraId="6BE27C7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2976</w:t>
            </w:r>
          </w:p>
        </w:tc>
        <w:tc>
          <w:tcPr>
            <w:tcW w:w="226" w:type="pct"/>
            <w:shd w:val="clear" w:color="auto" w:fill="auto"/>
            <w:noWrap/>
            <w:vAlign w:val="center"/>
            <w:hideMark/>
          </w:tcPr>
          <w:p w14:paraId="6ACEAB70"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2866</w:t>
            </w:r>
          </w:p>
        </w:tc>
        <w:tc>
          <w:tcPr>
            <w:tcW w:w="226" w:type="pct"/>
            <w:shd w:val="clear" w:color="auto" w:fill="auto"/>
            <w:noWrap/>
            <w:vAlign w:val="center"/>
            <w:hideMark/>
          </w:tcPr>
          <w:p w14:paraId="1593D46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2844</w:t>
            </w:r>
          </w:p>
        </w:tc>
        <w:tc>
          <w:tcPr>
            <w:tcW w:w="226" w:type="pct"/>
            <w:shd w:val="clear" w:color="auto" w:fill="auto"/>
            <w:noWrap/>
            <w:vAlign w:val="center"/>
            <w:hideMark/>
          </w:tcPr>
          <w:p w14:paraId="6348893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2832</w:t>
            </w:r>
          </w:p>
        </w:tc>
        <w:tc>
          <w:tcPr>
            <w:tcW w:w="226" w:type="pct"/>
            <w:shd w:val="clear" w:color="auto" w:fill="auto"/>
            <w:noWrap/>
            <w:vAlign w:val="center"/>
            <w:hideMark/>
          </w:tcPr>
          <w:p w14:paraId="70C4472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2788</w:t>
            </w:r>
          </w:p>
        </w:tc>
        <w:tc>
          <w:tcPr>
            <w:tcW w:w="226" w:type="pct"/>
            <w:shd w:val="clear" w:color="auto" w:fill="auto"/>
            <w:noWrap/>
            <w:vAlign w:val="center"/>
            <w:hideMark/>
          </w:tcPr>
          <w:p w14:paraId="34EBD83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2792</w:t>
            </w:r>
          </w:p>
        </w:tc>
        <w:tc>
          <w:tcPr>
            <w:tcW w:w="226" w:type="pct"/>
            <w:shd w:val="clear" w:color="auto" w:fill="auto"/>
            <w:noWrap/>
            <w:vAlign w:val="center"/>
            <w:hideMark/>
          </w:tcPr>
          <w:p w14:paraId="56D2F02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2833</w:t>
            </w:r>
          </w:p>
        </w:tc>
        <w:tc>
          <w:tcPr>
            <w:tcW w:w="226" w:type="pct"/>
            <w:shd w:val="clear" w:color="auto" w:fill="auto"/>
            <w:noWrap/>
            <w:vAlign w:val="center"/>
            <w:hideMark/>
          </w:tcPr>
          <w:p w14:paraId="7554D6A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2880</w:t>
            </w:r>
          </w:p>
        </w:tc>
        <w:tc>
          <w:tcPr>
            <w:tcW w:w="226" w:type="pct"/>
            <w:shd w:val="clear" w:color="auto" w:fill="auto"/>
            <w:noWrap/>
            <w:vAlign w:val="center"/>
            <w:hideMark/>
          </w:tcPr>
          <w:p w14:paraId="52BB7226"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2748</w:t>
            </w:r>
          </w:p>
        </w:tc>
        <w:tc>
          <w:tcPr>
            <w:tcW w:w="226" w:type="pct"/>
            <w:shd w:val="clear" w:color="auto" w:fill="auto"/>
            <w:noWrap/>
            <w:vAlign w:val="center"/>
            <w:hideMark/>
          </w:tcPr>
          <w:p w14:paraId="7C16FF88"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2573</w:t>
            </w:r>
          </w:p>
        </w:tc>
        <w:tc>
          <w:tcPr>
            <w:tcW w:w="226" w:type="pct"/>
            <w:shd w:val="clear" w:color="auto" w:fill="auto"/>
            <w:noWrap/>
            <w:vAlign w:val="center"/>
            <w:hideMark/>
          </w:tcPr>
          <w:p w14:paraId="1955FB8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2312</w:t>
            </w:r>
          </w:p>
        </w:tc>
        <w:tc>
          <w:tcPr>
            <w:tcW w:w="226" w:type="pct"/>
            <w:shd w:val="clear" w:color="auto" w:fill="auto"/>
            <w:noWrap/>
            <w:vAlign w:val="center"/>
            <w:hideMark/>
          </w:tcPr>
          <w:p w14:paraId="129FD62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2117</w:t>
            </w:r>
          </w:p>
        </w:tc>
        <w:tc>
          <w:tcPr>
            <w:tcW w:w="226" w:type="pct"/>
            <w:shd w:val="clear" w:color="auto" w:fill="auto"/>
            <w:noWrap/>
            <w:vAlign w:val="center"/>
            <w:hideMark/>
          </w:tcPr>
          <w:p w14:paraId="18E70A5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2031</w:t>
            </w:r>
          </w:p>
        </w:tc>
        <w:tc>
          <w:tcPr>
            <w:tcW w:w="226" w:type="pct"/>
            <w:shd w:val="clear" w:color="auto" w:fill="auto"/>
            <w:noWrap/>
            <w:vAlign w:val="center"/>
            <w:hideMark/>
          </w:tcPr>
          <w:p w14:paraId="72841DE4" w14:textId="77777777" w:rsidR="007B6F2F" w:rsidRPr="007B6F2F" w:rsidRDefault="007B6F2F" w:rsidP="00B5056E">
            <w:pPr>
              <w:jc w:val="center"/>
              <w:rPr>
                <w:rFonts w:asciiTheme="minorHAnsi" w:hAnsiTheme="minorHAnsi" w:cstheme="minorHAnsi"/>
                <w:color w:val="000000"/>
                <w:sz w:val="16"/>
                <w:szCs w:val="16"/>
                <w:lang w:eastAsia="en-GB"/>
              </w:rPr>
            </w:pPr>
          </w:p>
        </w:tc>
        <w:tc>
          <w:tcPr>
            <w:tcW w:w="226" w:type="pct"/>
            <w:shd w:val="clear" w:color="auto" w:fill="auto"/>
            <w:noWrap/>
            <w:vAlign w:val="center"/>
            <w:hideMark/>
          </w:tcPr>
          <w:p w14:paraId="517BAAD0"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1054D87D"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2201EE9B" w14:textId="77777777" w:rsidR="007B6F2F" w:rsidRPr="007B6F2F" w:rsidRDefault="007B6F2F" w:rsidP="00B5056E">
            <w:pPr>
              <w:jc w:val="center"/>
              <w:rPr>
                <w:rFonts w:asciiTheme="minorHAnsi" w:hAnsiTheme="minorHAnsi" w:cstheme="minorHAnsi"/>
                <w:sz w:val="16"/>
                <w:szCs w:val="16"/>
                <w:lang w:eastAsia="en-GB"/>
              </w:rPr>
            </w:pPr>
          </w:p>
        </w:tc>
      </w:tr>
      <w:tr w:rsidR="007B6F2F" w:rsidRPr="007B6F2F" w14:paraId="0A2F1769" w14:textId="77777777" w:rsidTr="00B5056E">
        <w:trPr>
          <w:trHeight w:val="300"/>
        </w:trPr>
        <w:tc>
          <w:tcPr>
            <w:tcW w:w="615" w:type="pct"/>
            <w:tcBorders>
              <w:right w:val="single" w:sz="18" w:space="0" w:color="auto"/>
            </w:tcBorders>
            <w:shd w:val="clear" w:color="auto" w:fill="auto"/>
            <w:noWrap/>
            <w:vAlign w:val="center"/>
            <w:hideMark/>
          </w:tcPr>
          <w:p w14:paraId="017A06D9" w14:textId="5CCF2974" w:rsidR="007B6F2F" w:rsidRPr="007B6F2F" w:rsidRDefault="007B6F2F" w:rsidP="00B5056E">
            <w:pPr>
              <w:rPr>
                <w:rFonts w:asciiTheme="minorHAnsi" w:hAnsiTheme="minorHAnsi" w:cstheme="minorHAnsi"/>
                <w:b/>
                <w:bCs/>
                <w:color w:val="000000"/>
                <w:sz w:val="16"/>
                <w:szCs w:val="16"/>
                <w:lang w:eastAsia="en-GB"/>
              </w:rPr>
            </w:pPr>
            <w:r w:rsidRPr="00B5056E">
              <w:rPr>
                <w:rFonts w:asciiTheme="minorHAnsi" w:hAnsiTheme="minorHAnsi" w:cstheme="minorHAnsi"/>
                <w:b/>
                <w:bCs/>
                <w:color w:val="000000"/>
                <w:sz w:val="16"/>
                <w:szCs w:val="16"/>
                <w:lang w:eastAsia="en-GB"/>
              </w:rPr>
              <w:t>5-year</w:t>
            </w:r>
            <w:r w:rsidRPr="007B6F2F">
              <w:rPr>
                <w:rFonts w:asciiTheme="minorHAnsi" w:hAnsiTheme="minorHAnsi" w:cstheme="minorHAnsi"/>
                <w:b/>
                <w:bCs/>
                <w:color w:val="000000"/>
                <w:sz w:val="16"/>
                <w:szCs w:val="16"/>
                <w:lang w:eastAsia="en-GB"/>
              </w:rPr>
              <w:t xml:space="preserve"> supply</w:t>
            </w:r>
          </w:p>
        </w:tc>
        <w:tc>
          <w:tcPr>
            <w:tcW w:w="511" w:type="pct"/>
            <w:tcBorders>
              <w:left w:val="single" w:sz="18" w:space="0" w:color="auto"/>
            </w:tcBorders>
            <w:shd w:val="clear" w:color="auto" w:fill="auto"/>
            <w:noWrap/>
            <w:vAlign w:val="center"/>
            <w:hideMark/>
          </w:tcPr>
          <w:p w14:paraId="41655AE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3446</w:t>
            </w:r>
          </w:p>
        </w:tc>
        <w:tc>
          <w:tcPr>
            <w:tcW w:w="226" w:type="pct"/>
            <w:shd w:val="clear" w:color="auto" w:fill="auto"/>
            <w:noWrap/>
            <w:vAlign w:val="center"/>
            <w:hideMark/>
          </w:tcPr>
          <w:p w14:paraId="685DCA07"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3256</w:t>
            </w:r>
          </w:p>
        </w:tc>
        <w:tc>
          <w:tcPr>
            <w:tcW w:w="226" w:type="pct"/>
            <w:shd w:val="clear" w:color="auto" w:fill="auto"/>
            <w:noWrap/>
            <w:vAlign w:val="center"/>
            <w:hideMark/>
          </w:tcPr>
          <w:p w14:paraId="711C5FF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2798</w:t>
            </w:r>
          </w:p>
        </w:tc>
        <w:tc>
          <w:tcPr>
            <w:tcW w:w="226" w:type="pct"/>
            <w:shd w:val="clear" w:color="auto" w:fill="auto"/>
            <w:noWrap/>
            <w:vAlign w:val="center"/>
            <w:hideMark/>
          </w:tcPr>
          <w:p w14:paraId="689B2089"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2642</w:t>
            </w:r>
          </w:p>
        </w:tc>
        <w:tc>
          <w:tcPr>
            <w:tcW w:w="226" w:type="pct"/>
            <w:shd w:val="clear" w:color="auto" w:fill="auto"/>
            <w:noWrap/>
            <w:vAlign w:val="center"/>
            <w:hideMark/>
          </w:tcPr>
          <w:p w14:paraId="223C077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2842</w:t>
            </w:r>
          </w:p>
        </w:tc>
        <w:tc>
          <w:tcPr>
            <w:tcW w:w="226" w:type="pct"/>
            <w:shd w:val="clear" w:color="auto" w:fill="auto"/>
            <w:noWrap/>
            <w:vAlign w:val="center"/>
            <w:hideMark/>
          </w:tcPr>
          <w:p w14:paraId="73F6C54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2983</w:t>
            </w:r>
          </w:p>
        </w:tc>
        <w:tc>
          <w:tcPr>
            <w:tcW w:w="226" w:type="pct"/>
            <w:shd w:val="clear" w:color="auto" w:fill="auto"/>
            <w:noWrap/>
            <w:vAlign w:val="center"/>
            <w:hideMark/>
          </w:tcPr>
          <w:p w14:paraId="5CFA3FD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3300</w:t>
            </w:r>
          </w:p>
        </w:tc>
        <w:tc>
          <w:tcPr>
            <w:tcW w:w="226" w:type="pct"/>
            <w:shd w:val="clear" w:color="auto" w:fill="auto"/>
            <w:noWrap/>
            <w:vAlign w:val="center"/>
            <w:hideMark/>
          </w:tcPr>
          <w:p w14:paraId="076F938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3517</w:t>
            </w:r>
          </w:p>
        </w:tc>
        <w:tc>
          <w:tcPr>
            <w:tcW w:w="226" w:type="pct"/>
            <w:shd w:val="clear" w:color="auto" w:fill="auto"/>
            <w:noWrap/>
            <w:vAlign w:val="center"/>
            <w:hideMark/>
          </w:tcPr>
          <w:p w14:paraId="5E7BE1B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3551</w:t>
            </w:r>
          </w:p>
        </w:tc>
        <w:tc>
          <w:tcPr>
            <w:tcW w:w="226" w:type="pct"/>
            <w:shd w:val="clear" w:color="auto" w:fill="auto"/>
            <w:noWrap/>
            <w:vAlign w:val="center"/>
            <w:hideMark/>
          </w:tcPr>
          <w:p w14:paraId="518ECF05"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3244</w:t>
            </w:r>
          </w:p>
        </w:tc>
        <w:tc>
          <w:tcPr>
            <w:tcW w:w="226" w:type="pct"/>
            <w:shd w:val="clear" w:color="auto" w:fill="auto"/>
            <w:noWrap/>
            <w:vAlign w:val="center"/>
            <w:hideMark/>
          </w:tcPr>
          <w:p w14:paraId="6EA8CCB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2932</w:t>
            </w:r>
          </w:p>
        </w:tc>
        <w:tc>
          <w:tcPr>
            <w:tcW w:w="226" w:type="pct"/>
            <w:shd w:val="clear" w:color="auto" w:fill="auto"/>
            <w:noWrap/>
            <w:vAlign w:val="center"/>
            <w:hideMark/>
          </w:tcPr>
          <w:p w14:paraId="5CC2FA9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2590</w:t>
            </w:r>
          </w:p>
        </w:tc>
        <w:tc>
          <w:tcPr>
            <w:tcW w:w="226" w:type="pct"/>
            <w:shd w:val="clear" w:color="auto" w:fill="auto"/>
            <w:noWrap/>
            <w:vAlign w:val="center"/>
            <w:hideMark/>
          </w:tcPr>
          <w:p w14:paraId="3F13AEB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2412</w:t>
            </w:r>
          </w:p>
        </w:tc>
        <w:tc>
          <w:tcPr>
            <w:tcW w:w="226" w:type="pct"/>
            <w:shd w:val="clear" w:color="auto" w:fill="auto"/>
            <w:noWrap/>
            <w:vAlign w:val="center"/>
            <w:hideMark/>
          </w:tcPr>
          <w:p w14:paraId="7123AAF4"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2336</w:t>
            </w:r>
          </w:p>
        </w:tc>
        <w:tc>
          <w:tcPr>
            <w:tcW w:w="226" w:type="pct"/>
            <w:shd w:val="clear" w:color="auto" w:fill="auto"/>
            <w:noWrap/>
            <w:vAlign w:val="center"/>
            <w:hideMark/>
          </w:tcPr>
          <w:p w14:paraId="00623D1E" w14:textId="77777777" w:rsidR="007B6F2F" w:rsidRPr="007B6F2F" w:rsidRDefault="007B6F2F" w:rsidP="00B5056E">
            <w:pPr>
              <w:jc w:val="center"/>
              <w:rPr>
                <w:rFonts w:asciiTheme="minorHAnsi" w:hAnsiTheme="minorHAnsi" w:cstheme="minorHAnsi"/>
                <w:color w:val="000000"/>
                <w:sz w:val="16"/>
                <w:szCs w:val="16"/>
                <w:lang w:eastAsia="en-GB"/>
              </w:rPr>
            </w:pPr>
          </w:p>
        </w:tc>
        <w:tc>
          <w:tcPr>
            <w:tcW w:w="226" w:type="pct"/>
            <w:shd w:val="clear" w:color="auto" w:fill="auto"/>
            <w:noWrap/>
            <w:vAlign w:val="center"/>
            <w:hideMark/>
          </w:tcPr>
          <w:p w14:paraId="53CF5FB8"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5597FC0C" w14:textId="77777777" w:rsidR="007B6F2F" w:rsidRPr="007B6F2F" w:rsidRDefault="007B6F2F" w:rsidP="00B5056E">
            <w:pPr>
              <w:jc w:val="center"/>
              <w:rPr>
                <w:rFonts w:asciiTheme="minorHAnsi" w:hAnsiTheme="minorHAnsi" w:cstheme="minorHAnsi"/>
                <w:sz w:val="16"/>
                <w:szCs w:val="16"/>
                <w:lang w:eastAsia="en-GB"/>
              </w:rPr>
            </w:pPr>
          </w:p>
        </w:tc>
        <w:tc>
          <w:tcPr>
            <w:tcW w:w="242" w:type="pct"/>
            <w:shd w:val="clear" w:color="auto" w:fill="auto"/>
            <w:noWrap/>
            <w:vAlign w:val="center"/>
            <w:hideMark/>
          </w:tcPr>
          <w:p w14:paraId="42AD374B" w14:textId="77777777" w:rsidR="007B6F2F" w:rsidRPr="007B6F2F" w:rsidRDefault="007B6F2F" w:rsidP="00B5056E">
            <w:pPr>
              <w:jc w:val="center"/>
              <w:rPr>
                <w:rFonts w:asciiTheme="minorHAnsi" w:hAnsiTheme="minorHAnsi" w:cstheme="minorHAnsi"/>
                <w:sz w:val="16"/>
                <w:szCs w:val="16"/>
                <w:lang w:eastAsia="en-GB"/>
              </w:rPr>
            </w:pPr>
          </w:p>
        </w:tc>
      </w:tr>
      <w:tr w:rsidR="007B6F2F" w:rsidRPr="007B6F2F" w14:paraId="4DEA6375" w14:textId="77777777" w:rsidTr="00B5056E">
        <w:trPr>
          <w:trHeight w:val="300"/>
        </w:trPr>
        <w:tc>
          <w:tcPr>
            <w:tcW w:w="615" w:type="pct"/>
            <w:tcBorders>
              <w:bottom w:val="single" w:sz="18" w:space="0" w:color="auto"/>
              <w:right w:val="single" w:sz="18" w:space="0" w:color="auto"/>
            </w:tcBorders>
            <w:shd w:val="clear" w:color="auto" w:fill="auto"/>
            <w:noWrap/>
            <w:vAlign w:val="center"/>
            <w:hideMark/>
          </w:tcPr>
          <w:p w14:paraId="4BA1BE7B" w14:textId="58C23005" w:rsidR="007B6F2F" w:rsidRPr="007B6F2F" w:rsidRDefault="007B6F2F" w:rsidP="00B5056E">
            <w:pP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Surplus/</w:t>
            </w:r>
            <w:r w:rsidRPr="00B5056E">
              <w:rPr>
                <w:rFonts w:asciiTheme="minorHAnsi" w:hAnsiTheme="minorHAnsi" w:cstheme="minorHAnsi"/>
                <w:b/>
                <w:bCs/>
                <w:color w:val="000000"/>
                <w:sz w:val="16"/>
                <w:szCs w:val="16"/>
                <w:lang w:eastAsia="en-GB"/>
              </w:rPr>
              <w:t>deficit</w:t>
            </w:r>
          </w:p>
        </w:tc>
        <w:tc>
          <w:tcPr>
            <w:tcW w:w="511" w:type="pct"/>
            <w:tcBorders>
              <w:left w:val="single" w:sz="18" w:space="0" w:color="auto"/>
              <w:bottom w:val="single" w:sz="18" w:space="0" w:color="auto"/>
            </w:tcBorders>
            <w:shd w:val="clear" w:color="auto" w:fill="auto"/>
            <w:noWrap/>
            <w:vAlign w:val="center"/>
            <w:hideMark/>
          </w:tcPr>
          <w:p w14:paraId="17155C6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427</w:t>
            </w:r>
          </w:p>
        </w:tc>
        <w:tc>
          <w:tcPr>
            <w:tcW w:w="226" w:type="pct"/>
            <w:tcBorders>
              <w:bottom w:val="single" w:sz="18" w:space="0" w:color="auto"/>
            </w:tcBorders>
            <w:shd w:val="clear" w:color="auto" w:fill="auto"/>
            <w:noWrap/>
            <w:vAlign w:val="center"/>
            <w:hideMark/>
          </w:tcPr>
          <w:p w14:paraId="2986046E"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280</w:t>
            </w:r>
          </w:p>
        </w:tc>
        <w:tc>
          <w:tcPr>
            <w:tcW w:w="226" w:type="pct"/>
            <w:tcBorders>
              <w:bottom w:val="single" w:sz="18" w:space="0" w:color="auto"/>
            </w:tcBorders>
            <w:shd w:val="clear" w:color="auto" w:fill="auto"/>
            <w:noWrap/>
            <w:vAlign w:val="center"/>
            <w:hideMark/>
          </w:tcPr>
          <w:p w14:paraId="1564A7DC"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-68</w:t>
            </w:r>
          </w:p>
        </w:tc>
        <w:tc>
          <w:tcPr>
            <w:tcW w:w="226" w:type="pct"/>
            <w:tcBorders>
              <w:bottom w:val="single" w:sz="18" w:space="0" w:color="auto"/>
            </w:tcBorders>
            <w:shd w:val="clear" w:color="auto" w:fill="auto"/>
            <w:noWrap/>
            <w:vAlign w:val="center"/>
            <w:hideMark/>
          </w:tcPr>
          <w:p w14:paraId="518869B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-202</w:t>
            </w:r>
          </w:p>
        </w:tc>
        <w:tc>
          <w:tcPr>
            <w:tcW w:w="226" w:type="pct"/>
            <w:tcBorders>
              <w:bottom w:val="single" w:sz="18" w:space="0" w:color="auto"/>
            </w:tcBorders>
            <w:shd w:val="clear" w:color="auto" w:fill="auto"/>
            <w:noWrap/>
            <w:vAlign w:val="center"/>
            <w:hideMark/>
          </w:tcPr>
          <w:p w14:paraId="794CF75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10</w:t>
            </w:r>
          </w:p>
        </w:tc>
        <w:tc>
          <w:tcPr>
            <w:tcW w:w="226" w:type="pct"/>
            <w:tcBorders>
              <w:bottom w:val="single" w:sz="18" w:space="0" w:color="auto"/>
            </w:tcBorders>
            <w:shd w:val="clear" w:color="auto" w:fill="auto"/>
            <w:noWrap/>
            <w:vAlign w:val="center"/>
            <w:hideMark/>
          </w:tcPr>
          <w:p w14:paraId="18BA68C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195</w:t>
            </w:r>
          </w:p>
        </w:tc>
        <w:tc>
          <w:tcPr>
            <w:tcW w:w="226" w:type="pct"/>
            <w:tcBorders>
              <w:bottom w:val="single" w:sz="18" w:space="0" w:color="auto"/>
            </w:tcBorders>
            <w:shd w:val="clear" w:color="auto" w:fill="auto"/>
            <w:noWrap/>
            <w:vAlign w:val="center"/>
            <w:hideMark/>
          </w:tcPr>
          <w:p w14:paraId="42516FF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508</w:t>
            </w:r>
          </w:p>
        </w:tc>
        <w:tc>
          <w:tcPr>
            <w:tcW w:w="226" w:type="pct"/>
            <w:tcBorders>
              <w:bottom w:val="single" w:sz="18" w:space="0" w:color="auto"/>
            </w:tcBorders>
            <w:shd w:val="clear" w:color="auto" w:fill="auto"/>
            <w:noWrap/>
            <w:vAlign w:val="center"/>
            <w:hideMark/>
          </w:tcPr>
          <w:p w14:paraId="4941CF0B"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684</w:t>
            </w:r>
          </w:p>
        </w:tc>
        <w:tc>
          <w:tcPr>
            <w:tcW w:w="226" w:type="pct"/>
            <w:tcBorders>
              <w:bottom w:val="single" w:sz="18" w:space="0" w:color="auto"/>
            </w:tcBorders>
            <w:shd w:val="clear" w:color="auto" w:fill="auto"/>
            <w:noWrap/>
            <w:vAlign w:val="center"/>
            <w:hideMark/>
          </w:tcPr>
          <w:p w14:paraId="7CB0B12F"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671</w:t>
            </w:r>
          </w:p>
        </w:tc>
        <w:tc>
          <w:tcPr>
            <w:tcW w:w="226" w:type="pct"/>
            <w:tcBorders>
              <w:bottom w:val="single" w:sz="18" w:space="0" w:color="auto"/>
            </w:tcBorders>
            <w:shd w:val="clear" w:color="auto" w:fill="auto"/>
            <w:noWrap/>
            <w:vAlign w:val="center"/>
            <w:hideMark/>
          </w:tcPr>
          <w:p w14:paraId="218A5043"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496</w:t>
            </w:r>
          </w:p>
        </w:tc>
        <w:tc>
          <w:tcPr>
            <w:tcW w:w="226" w:type="pct"/>
            <w:tcBorders>
              <w:bottom w:val="single" w:sz="18" w:space="0" w:color="auto"/>
            </w:tcBorders>
            <w:shd w:val="clear" w:color="auto" w:fill="auto"/>
            <w:noWrap/>
            <w:vAlign w:val="center"/>
            <w:hideMark/>
          </w:tcPr>
          <w:p w14:paraId="5235DB4D"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359</w:t>
            </w:r>
          </w:p>
        </w:tc>
        <w:tc>
          <w:tcPr>
            <w:tcW w:w="226" w:type="pct"/>
            <w:tcBorders>
              <w:bottom w:val="single" w:sz="18" w:space="0" w:color="auto"/>
            </w:tcBorders>
            <w:shd w:val="clear" w:color="auto" w:fill="auto"/>
            <w:noWrap/>
            <w:vAlign w:val="center"/>
            <w:hideMark/>
          </w:tcPr>
          <w:p w14:paraId="772B055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279</w:t>
            </w:r>
          </w:p>
        </w:tc>
        <w:tc>
          <w:tcPr>
            <w:tcW w:w="226" w:type="pct"/>
            <w:tcBorders>
              <w:bottom w:val="single" w:sz="18" w:space="0" w:color="auto"/>
            </w:tcBorders>
            <w:shd w:val="clear" w:color="auto" w:fill="auto"/>
            <w:noWrap/>
            <w:vAlign w:val="center"/>
            <w:hideMark/>
          </w:tcPr>
          <w:p w14:paraId="4877E74A"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295</w:t>
            </w:r>
          </w:p>
        </w:tc>
        <w:tc>
          <w:tcPr>
            <w:tcW w:w="226" w:type="pct"/>
            <w:tcBorders>
              <w:bottom w:val="single" w:sz="18" w:space="0" w:color="auto"/>
            </w:tcBorders>
            <w:shd w:val="clear" w:color="auto" w:fill="auto"/>
            <w:noWrap/>
            <w:vAlign w:val="center"/>
            <w:hideMark/>
          </w:tcPr>
          <w:p w14:paraId="3AF0ED41" w14:textId="77777777" w:rsidR="007B6F2F" w:rsidRPr="007B6F2F" w:rsidRDefault="007B6F2F" w:rsidP="00B5056E">
            <w:pPr>
              <w:jc w:val="center"/>
              <w:rPr>
                <w:rFonts w:asciiTheme="minorHAnsi" w:hAnsiTheme="minorHAnsi" w:cstheme="minorHAnsi"/>
                <w:color w:val="000000"/>
                <w:sz w:val="16"/>
                <w:szCs w:val="16"/>
                <w:lang w:eastAsia="en-GB"/>
              </w:rPr>
            </w:pPr>
            <w:r w:rsidRPr="007B6F2F">
              <w:rPr>
                <w:rFonts w:asciiTheme="minorHAnsi" w:hAnsiTheme="minorHAnsi" w:cstheme="minorHAnsi"/>
                <w:color w:val="000000"/>
                <w:sz w:val="16"/>
                <w:szCs w:val="16"/>
                <w:lang w:eastAsia="en-GB"/>
              </w:rPr>
              <w:t>305</w:t>
            </w:r>
          </w:p>
        </w:tc>
        <w:tc>
          <w:tcPr>
            <w:tcW w:w="226" w:type="pct"/>
            <w:tcBorders>
              <w:bottom w:val="single" w:sz="18" w:space="0" w:color="auto"/>
            </w:tcBorders>
            <w:shd w:val="clear" w:color="auto" w:fill="auto"/>
            <w:noWrap/>
            <w:vAlign w:val="center"/>
            <w:hideMark/>
          </w:tcPr>
          <w:p w14:paraId="47CABB9E" w14:textId="77777777" w:rsidR="007B6F2F" w:rsidRPr="007B6F2F" w:rsidRDefault="007B6F2F" w:rsidP="00B5056E">
            <w:pPr>
              <w:jc w:val="center"/>
              <w:rPr>
                <w:rFonts w:asciiTheme="minorHAnsi" w:hAnsiTheme="minorHAnsi" w:cstheme="minorHAnsi"/>
                <w:color w:val="000000"/>
                <w:sz w:val="16"/>
                <w:szCs w:val="16"/>
                <w:lang w:eastAsia="en-GB"/>
              </w:rPr>
            </w:pPr>
          </w:p>
        </w:tc>
        <w:tc>
          <w:tcPr>
            <w:tcW w:w="226" w:type="pct"/>
            <w:tcBorders>
              <w:bottom w:val="single" w:sz="18" w:space="0" w:color="auto"/>
            </w:tcBorders>
            <w:shd w:val="clear" w:color="auto" w:fill="auto"/>
            <w:noWrap/>
            <w:vAlign w:val="center"/>
            <w:hideMark/>
          </w:tcPr>
          <w:p w14:paraId="478C708B" w14:textId="77777777" w:rsidR="007B6F2F" w:rsidRPr="007B6F2F" w:rsidRDefault="007B6F2F" w:rsidP="00B5056E">
            <w:pPr>
              <w:jc w:val="center"/>
              <w:rPr>
                <w:rFonts w:asciiTheme="minorHAnsi" w:hAnsiTheme="minorHAnsi" w:cstheme="minorHAnsi"/>
                <w:sz w:val="16"/>
                <w:szCs w:val="16"/>
                <w:lang w:eastAsia="en-GB"/>
              </w:rPr>
            </w:pPr>
          </w:p>
        </w:tc>
        <w:tc>
          <w:tcPr>
            <w:tcW w:w="242" w:type="pct"/>
            <w:tcBorders>
              <w:bottom w:val="single" w:sz="18" w:space="0" w:color="auto"/>
            </w:tcBorders>
            <w:shd w:val="clear" w:color="auto" w:fill="auto"/>
            <w:noWrap/>
            <w:vAlign w:val="center"/>
            <w:hideMark/>
          </w:tcPr>
          <w:p w14:paraId="71C65DA8" w14:textId="77777777" w:rsidR="007B6F2F" w:rsidRPr="007B6F2F" w:rsidRDefault="007B6F2F" w:rsidP="00B5056E">
            <w:pPr>
              <w:jc w:val="center"/>
              <w:rPr>
                <w:rFonts w:asciiTheme="minorHAnsi" w:hAnsiTheme="minorHAnsi" w:cstheme="minorHAnsi"/>
                <w:sz w:val="16"/>
                <w:szCs w:val="16"/>
                <w:lang w:eastAsia="en-GB"/>
              </w:rPr>
            </w:pPr>
          </w:p>
        </w:tc>
        <w:tc>
          <w:tcPr>
            <w:tcW w:w="242" w:type="pct"/>
            <w:tcBorders>
              <w:bottom w:val="single" w:sz="18" w:space="0" w:color="auto"/>
            </w:tcBorders>
            <w:shd w:val="clear" w:color="auto" w:fill="auto"/>
            <w:noWrap/>
            <w:vAlign w:val="center"/>
            <w:hideMark/>
          </w:tcPr>
          <w:p w14:paraId="6203FC14" w14:textId="77777777" w:rsidR="007B6F2F" w:rsidRPr="007B6F2F" w:rsidRDefault="007B6F2F" w:rsidP="00B5056E">
            <w:pPr>
              <w:jc w:val="center"/>
              <w:rPr>
                <w:rFonts w:asciiTheme="minorHAnsi" w:hAnsiTheme="minorHAnsi" w:cstheme="minorHAnsi"/>
                <w:sz w:val="16"/>
                <w:szCs w:val="16"/>
                <w:lang w:eastAsia="en-GB"/>
              </w:rPr>
            </w:pPr>
          </w:p>
        </w:tc>
      </w:tr>
      <w:tr w:rsidR="007B6F2F" w:rsidRPr="007B6F2F" w14:paraId="36F4DAFA" w14:textId="77777777" w:rsidTr="00B5056E">
        <w:trPr>
          <w:trHeight w:val="300"/>
        </w:trPr>
        <w:tc>
          <w:tcPr>
            <w:tcW w:w="615" w:type="pct"/>
            <w:tcBorders>
              <w:top w:val="single" w:sz="18" w:space="0" w:color="auto"/>
              <w:bottom w:val="single" w:sz="18" w:space="0" w:color="auto"/>
              <w:right w:val="single" w:sz="18" w:space="0" w:color="auto"/>
            </w:tcBorders>
            <w:shd w:val="clear" w:color="auto" w:fill="auto"/>
            <w:noWrap/>
            <w:vAlign w:val="center"/>
            <w:hideMark/>
          </w:tcPr>
          <w:p w14:paraId="33F65154" w14:textId="77777777" w:rsidR="007B6F2F" w:rsidRPr="007B6F2F" w:rsidRDefault="007B6F2F" w:rsidP="00B5056E">
            <w:pP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5YHLS</w:t>
            </w:r>
          </w:p>
        </w:tc>
        <w:tc>
          <w:tcPr>
            <w:tcW w:w="511" w:type="pct"/>
            <w:tcBorders>
              <w:top w:val="single" w:sz="18" w:space="0" w:color="auto"/>
              <w:left w:val="single" w:sz="18" w:space="0" w:color="auto"/>
              <w:bottom w:val="single" w:sz="18" w:space="0" w:color="auto"/>
            </w:tcBorders>
            <w:shd w:val="clear" w:color="auto" w:fill="auto"/>
            <w:noWrap/>
            <w:vAlign w:val="center"/>
            <w:hideMark/>
          </w:tcPr>
          <w:p w14:paraId="0B9AC47B"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5.71</w:t>
            </w:r>
          </w:p>
        </w:tc>
        <w:tc>
          <w:tcPr>
            <w:tcW w:w="226" w:type="pct"/>
            <w:tcBorders>
              <w:top w:val="single" w:sz="18" w:space="0" w:color="auto"/>
              <w:bottom w:val="single" w:sz="18" w:space="0" w:color="auto"/>
            </w:tcBorders>
            <w:shd w:val="clear" w:color="auto" w:fill="auto"/>
            <w:noWrap/>
            <w:vAlign w:val="center"/>
            <w:hideMark/>
          </w:tcPr>
          <w:p w14:paraId="4B7068AB"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5.47</w:t>
            </w:r>
          </w:p>
        </w:tc>
        <w:tc>
          <w:tcPr>
            <w:tcW w:w="226" w:type="pct"/>
            <w:tcBorders>
              <w:top w:val="single" w:sz="18" w:space="0" w:color="auto"/>
              <w:bottom w:val="single" w:sz="18" w:space="0" w:color="auto"/>
            </w:tcBorders>
            <w:shd w:val="clear" w:color="auto" w:fill="auto"/>
            <w:noWrap/>
            <w:vAlign w:val="center"/>
            <w:hideMark/>
          </w:tcPr>
          <w:p w14:paraId="326C34A0"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4.88</w:t>
            </w:r>
          </w:p>
        </w:tc>
        <w:tc>
          <w:tcPr>
            <w:tcW w:w="226" w:type="pct"/>
            <w:tcBorders>
              <w:top w:val="single" w:sz="18" w:space="0" w:color="auto"/>
              <w:bottom w:val="single" w:sz="18" w:space="0" w:color="auto"/>
            </w:tcBorders>
            <w:shd w:val="clear" w:color="auto" w:fill="auto"/>
            <w:noWrap/>
            <w:vAlign w:val="center"/>
            <w:hideMark/>
          </w:tcPr>
          <w:p w14:paraId="7C2BA30E"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4.64</w:t>
            </w:r>
          </w:p>
        </w:tc>
        <w:tc>
          <w:tcPr>
            <w:tcW w:w="226" w:type="pct"/>
            <w:tcBorders>
              <w:top w:val="single" w:sz="18" w:space="0" w:color="auto"/>
              <w:bottom w:val="single" w:sz="18" w:space="0" w:color="auto"/>
            </w:tcBorders>
            <w:shd w:val="clear" w:color="auto" w:fill="auto"/>
            <w:noWrap/>
            <w:vAlign w:val="center"/>
            <w:hideMark/>
          </w:tcPr>
          <w:p w14:paraId="311B547C"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5.02</w:t>
            </w:r>
          </w:p>
        </w:tc>
        <w:tc>
          <w:tcPr>
            <w:tcW w:w="226" w:type="pct"/>
            <w:tcBorders>
              <w:top w:val="single" w:sz="18" w:space="0" w:color="auto"/>
              <w:bottom w:val="single" w:sz="18" w:space="0" w:color="auto"/>
            </w:tcBorders>
            <w:shd w:val="clear" w:color="auto" w:fill="auto"/>
            <w:noWrap/>
            <w:vAlign w:val="center"/>
            <w:hideMark/>
          </w:tcPr>
          <w:p w14:paraId="0084F164"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5.35</w:t>
            </w:r>
          </w:p>
        </w:tc>
        <w:tc>
          <w:tcPr>
            <w:tcW w:w="226" w:type="pct"/>
            <w:tcBorders>
              <w:top w:val="single" w:sz="18" w:space="0" w:color="auto"/>
              <w:bottom w:val="single" w:sz="18" w:space="0" w:color="auto"/>
            </w:tcBorders>
            <w:shd w:val="clear" w:color="auto" w:fill="auto"/>
            <w:noWrap/>
            <w:vAlign w:val="center"/>
            <w:hideMark/>
          </w:tcPr>
          <w:p w14:paraId="072D42BA"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5.91</w:t>
            </w:r>
          </w:p>
        </w:tc>
        <w:tc>
          <w:tcPr>
            <w:tcW w:w="226" w:type="pct"/>
            <w:tcBorders>
              <w:top w:val="single" w:sz="18" w:space="0" w:color="auto"/>
              <w:bottom w:val="single" w:sz="18" w:space="0" w:color="auto"/>
            </w:tcBorders>
            <w:shd w:val="clear" w:color="auto" w:fill="auto"/>
            <w:noWrap/>
            <w:vAlign w:val="center"/>
            <w:hideMark/>
          </w:tcPr>
          <w:p w14:paraId="6E65924A"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6.21</w:t>
            </w:r>
          </w:p>
        </w:tc>
        <w:tc>
          <w:tcPr>
            <w:tcW w:w="226" w:type="pct"/>
            <w:tcBorders>
              <w:top w:val="single" w:sz="18" w:space="0" w:color="auto"/>
              <w:bottom w:val="single" w:sz="18" w:space="0" w:color="auto"/>
            </w:tcBorders>
            <w:shd w:val="clear" w:color="auto" w:fill="auto"/>
            <w:noWrap/>
            <w:vAlign w:val="center"/>
            <w:hideMark/>
          </w:tcPr>
          <w:p w14:paraId="49AA197B"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6.17</w:t>
            </w:r>
          </w:p>
        </w:tc>
        <w:tc>
          <w:tcPr>
            <w:tcW w:w="226" w:type="pct"/>
            <w:tcBorders>
              <w:top w:val="single" w:sz="18" w:space="0" w:color="auto"/>
              <w:bottom w:val="single" w:sz="18" w:space="0" w:color="auto"/>
            </w:tcBorders>
            <w:shd w:val="clear" w:color="auto" w:fill="auto"/>
            <w:noWrap/>
            <w:vAlign w:val="center"/>
            <w:hideMark/>
          </w:tcPr>
          <w:p w14:paraId="1DA057D5"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5.90</w:t>
            </w:r>
          </w:p>
        </w:tc>
        <w:tc>
          <w:tcPr>
            <w:tcW w:w="226" w:type="pct"/>
            <w:tcBorders>
              <w:top w:val="single" w:sz="18" w:space="0" w:color="auto"/>
              <w:bottom w:val="single" w:sz="18" w:space="0" w:color="auto"/>
            </w:tcBorders>
            <w:shd w:val="clear" w:color="auto" w:fill="auto"/>
            <w:noWrap/>
            <w:vAlign w:val="center"/>
            <w:hideMark/>
          </w:tcPr>
          <w:p w14:paraId="2B56392F"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5.70</w:t>
            </w:r>
          </w:p>
        </w:tc>
        <w:tc>
          <w:tcPr>
            <w:tcW w:w="226" w:type="pct"/>
            <w:tcBorders>
              <w:top w:val="single" w:sz="18" w:space="0" w:color="auto"/>
              <w:bottom w:val="single" w:sz="18" w:space="0" w:color="auto"/>
            </w:tcBorders>
            <w:shd w:val="clear" w:color="auto" w:fill="auto"/>
            <w:noWrap/>
            <w:vAlign w:val="center"/>
            <w:hideMark/>
          </w:tcPr>
          <w:p w14:paraId="25DC7965"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5.60</w:t>
            </w:r>
          </w:p>
        </w:tc>
        <w:tc>
          <w:tcPr>
            <w:tcW w:w="226" w:type="pct"/>
            <w:tcBorders>
              <w:top w:val="single" w:sz="18" w:space="0" w:color="auto"/>
              <w:bottom w:val="single" w:sz="18" w:space="0" w:color="auto"/>
            </w:tcBorders>
            <w:shd w:val="clear" w:color="auto" w:fill="auto"/>
            <w:noWrap/>
            <w:vAlign w:val="center"/>
            <w:hideMark/>
          </w:tcPr>
          <w:p w14:paraId="1629EFCF"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5.70</w:t>
            </w:r>
          </w:p>
        </w:tc>
        <w:tc>
          <w:tcPr>
            <w:tcW w:w="226" w:type="pct"/>
            <w:tcBorders>
              <w:top w:val="single" w:sz="18" w:space="0" w:color="auto"/>
              <w:bottom w:val="single" w:sz="18" w:space="0" w:color="auto"/>
            </w:tcBorders>
            <w:shd w:val="clear" w:color="auto" w:fill="auto"/>
            <w:noWrap/>
            <w:vAlign w:val="center"/>
            <w:hideMark/>
          </w:tcPr>
          <w:p w14:paraId="61E1A30D" w14:textId="77777777" w:rsidR="007B6F2F" w:rsidRPr="007B6F2F" w:rsidRDefault="007B6F2F" w:rsidP="00B5056E">
            <w:pPr>
              <w:jc w:val="center"/>
              <w:rPr>
                <w:rFonts w:asciiTheme="minorHAnsi" w:hAnsiTheme="minorHAnsi" w:cstheme="minorHAnsi"/>
                <w:b/>
                <w:bCs/>
                <w:color w:val="000000"/>
                <w:sz w:val="16"/>
                <w:szCs w:val="16"/>
                <w:lang w:eastAsia="en-GB"/>
              </w:rPr>
            </w:pPr>
            <w:r w:rsidRPr="007B6F2F">
              <w:rPr>
                <w:rFonts w:asciiTheme="minorHAnsi" w:hAnsiTheme="minorHAnsi" w:cstheme="minorHAnsi"/>
                <w:b/>
                <w:bCs/>
                <w:color w:val="000000"/>
                <w:sz w:val="16"/>
                <w:szCs w:val="16"/>
                <w:lang w:eastAsia="en-GB"/>
              </w:rPr>
              <w:t>5.75</w:t>
            </w:r>
          </w:p>
        </w:tc>
        <w:tc>
          <w:tcPr>
            <w:tcW w:w="226" w:type="pct"/>
            <w:tcBorders>
              <w:top w:val="single" w:sz="18" w:space="0" w:color="auto"/>
              <w:bottom w:val="single" w:sz="18" w:space="0" w:color="auto"/>
            </w:tcBorders>
            <w:shd w:val="clear" w:color="auto" w:fill="auto"/>
            <w:noWrap/>
            <w:vAlign w:val="center"/>
            <w:hideMark/>
          </w:tcPr>
          <w:p w14:paraId="2839152C" w14:textId="77777777" w:rsidR="007B6F2F" w:rsidRPr="007B6F2F" w:rsidRDefault="007B6F2F" w:rsidP="00B5056E">
            <w:pPr>
              <w:jc w:val="center"/>
              <w:rPr>
                <w:rFonts w:asciiTheme="minorHAnsi" w:hAnsiTheme="minorHAnsi" w:cstheme="minorHAnsi"/>
                <w:color w:val="000000"/>
                <w:sz w:val="16"/>
                <w:szCs w:val="16"/>
                <w:lang w:eastAsia="en-GB"/>
              </w:rPr>
            </w:pPr>
          </w:p>
        </w:tc>
        <w:tc>
          <w:tcPr>
            <w:tcW w:w="226" w:type="pct"/>
            <w:tcBorders>
              <w:top w:val="single" w:sz="18" w:space="0" w:color="auto"/>
              <w:bottom w:val="single" w:sz="18" w:space="0" w:color="auto"/>
            </w:tcBorders>
            <w:shd w:val="clear" w:color="auto" w:fill="auto"/>
            <w:noWrap/>
            <w:vAlign w:val="center"/>
            <w:hideMark/>
          </w:tcPr>
          <w:p w14:paraId="30EDFE98" w14:textId="77777777" w:rsidR="007B6F2F" w:rsidRPr="007B6F2F" w:rsidRDefault="007B6F2F" w:rsidP="00B5056E">
            <w:pPr>
              <w:jc w:val="center"/>
              <w:rPr>
                <w:rFonts w:asciiTheme="minorHAnsi" w:hAnsiTheme="minorHAnsi" w:cstheme="minorHAnsi"/>
                <w:sz w:val="16"/>
                <w:szCs w:val="16"/>
                <w:lang w:eastAsia="en-GB"/>
              </w:rPr>
            </w:pPr>
          </w:p>
        </w:tc>
        <w:tc>
          <w:tcPr>
            <w:tcW w:w="242" w:type="pct"/>
            <w:tcBorders>
              <w:top w:val="single" w:sz="18" w:space="0" w:color="auto"/>
              <w:bottom w:val="single" w:sz="18" w:space="0" w:color="auto"/>
            </w:tcBorders>
            <w:shd w:val="clear" w:color="auto" w:fill="auto"/>
            <w:noWrap/>
            <w:vAlign w:val="center"/>
            <w:hideMark/>
          </w:tcPr>
          <w:p w14:paraId="354CDD3E" w14:textId="77777777" w:rsidR="007B6F2F" w:rsidRPr="007B6F2F" w:rsidRDefault="007B6F2F" w:rsidP="00B5056E">
            <w:pPr>
              <w:jc w:val="center"/>
              <w:rPr>
                <w:rFonts w:asciiTheme="minorHAnsi" w:hAnsiTheme="minorHAnsi" w:cstheme="minorHAnsi"/>
                <w:sz w:val="16"/>
                <w:szCs w:val="16"/>
                <w:lang w:eastAsia="en-GB"/>
              </w:rPr>
            </w:pPr>
          </w:p>
        </w:tc>
        <w:tc>
          <w:tcPr>
            <w:tcW w:w="242" w:type="pct"/>
            <w:tcBorders>
              <w:top w:val="single" w:sz="18" w:space="0" w:color="auto"/>
              <w:bottom w:val="single" w:sz="18" w:space="0" w:color="auto"/>
            </w:tcBorders>
            <w:shd w:val="clear" w:color="auto" w:fill="auto"/>
            <w:noWrap/>
            <w:vAlign w:val="center"/>
            <w:hideMark/>
          </w:tcPr>
          <w:p w14:paraId="60D06D10" w14:textId="77777777" w:rsidR="007B6F2F" w:rsidRPr="007B6F2F" w:rsidRDefault="007B6F2F" w:rsidP="00B5056E">
            <w:pPr>
              <w:jc w:val="center"/>
              <w:rPr>
                <w:rFonts w:asciiTheme="minorHAnsi" w:hAnsiTheme="minorHAnsi" w:cstheme="minorHAnsi"/>
                <w:sz w:val="16"/>
                <w:szCs w:val="16"/>
                <w:lang w:eastAsia="en-GB"/>
              </w:rPr>
            </w:pPr>
          </w:p>
        </w:tc>
      </w:tr>
    </w:tbl>
    <w:p w14:paraId="4FF71301" w14:textId="77777777" w:rsidR="007B6F2F" w:rsidRPr="00B942FA" w:rsidRDefault="007B6F2F" w:rsidP="00B942FA">
      <w:pPr>
        <w:spacing w:line="276" w:lineRule="auto"/>
        <w:rPr>
          <w:rFonts w:ascii="Arial" w:hAnsi="Arial" w:cs="Arial"/>
          <w:sz w:val="22"/>
          <w:szCs w:val="22"/>
        </w:rPr>
      </w:pPr>
    </w:p>
    <w:sectPr w:rsidR="007B6F2F" w:rsidRPr="00B942FA" w:rsidSect="007B6F2F">
      <w:pgSz w:w="16838" w:h="11906" w:orient="landscape" w:code="9"/>
      <w:pgMar w:top="1797" w:right="1440" w:bottom="1797" w:left="1701"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63831" w14:textId="77777777" w:rsidR="00692D71" w:rsidRDefault="00692D71" w:rsidP="00CE103B">
      <w:r>
        <w:separator/>
      </w:r>
    </w:p>
  </w:endnote>
  <w:endnote w:type="continuationSeparator" w:id="0">
    <w:p w14:paraId="232100B3" w14:textId="77777777" w:rsidR="00692D71" w:rsidRDefault="00692D71" w:rsidP="00CE103B">
      <w:r>
        <w:continuationSeparator/>
      </w:r>
    </w:p>
  </w:endnote>
  <w:endnote w:type="continuationNotice" w:id="1">
    <w:p w14:paraId="49822670" w14:textId="77777777" w:rsidR="00692D71" w:rsidRDefault="00692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BFB8"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8240" behindDoc="0" locked="0" layoutInCell="1" allowOverlap="1" wp14:anchorId="1BDE8AE7" wp14:editId="43836ED3">
          <wp:simplePos x="0" y="0"/>
          <wp:positionH relativeFrom="column">
            <wp:posOffset>3739152</wp:posOffset>
          </wp:positionH>
          <wp:positionV relativeFrom="paragraph">
            <wp:posOffset>-19685</wp:posOffset>
          </wp:positionV>
          <wp:extent cx="114300" cy="114300"/>
          <wp:effectExtent l="0" t="0" r="0" b="0"/>
          <wp:wrapNone/>
          <wp:docPr id="1303248283" name="Picture 130324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33FAE197" w14:textId="77777777" w:rsidR="00CE103B" w:rsidRDefault="00CE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AC26" w14:textId="77777777" w:rsidR="007D027F" w:rsidRDefault="00196A1D">
    <w:pPr>
      <w:pStyle w:val="Footer"/>
    </w:pPr>
    <w:r w:rsidRPr="00196A1D">
      <w:rPr>
        <w:noProof/>
        <w:lang w:eastAsia="en-GB"/>
      </w:rPr>
      <mc:AlternateContent>
        <mc:Choice Requires="wps">
          <w:drawing>
            <wp:anchor distT="0" distB="0" distL="114300" distR="114300" simplePos="0" relativeHeight="251658242" behindDoc="0" locked="0" layoutInCell="1" allowOverlap="1" wp14:anchorId="243F6341" wp14:editId="2ECF7CD8">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43F6341"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8241" behindDoc="0" locked="0" layoutInCell="1" allowOverlap="1" wp14:anchorId="68F54834" wp14:editId="24DFD5A6">
          <wp:simplePos x="0" y="0"/>
          <wp:positionH relativeFrom="column">
            <wp:posOffset>-1181100</wp:posOffset>
          </wp:positionH>
          <wp:positionV relativeFrom="paragraph">
            <wp:posOffset>-845820</wp:posOffset>
          </wp:positionV>
          <wp:extent cx="7626985" cy="1009650"/>
          <wp:effectExtent l="0" t="0" r="0" b="0"/>
          <wp:wrapNone/>
          <wp:docPr id="1411692657" name="Picture 141169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2910" w14:textId="77777777" w:rsidR="00692D71" w:rsidRDefault="00692D71" w:rsidP="00CE103B">
      <w:r>
        <w:separator/>
      </w:r>
    </w:p>
  </w:footnote>
  <w:footnote w:type="continuationSeparator" w:id="0">
    <w:p w14:paraId="72A716C2" w14:textId="77777777" w:rsidR="00692D71" w:rsidRDefault="00692D71" w:rsidP="00CE103B">
      <w:r>
        <w:continuationSeparator/>
      </w:r>
    </w:p>
  </w:footnote>
  <w:footnote w:type="continuationNotice" w:id="1">
    <w:p w14:paraId="7E11A86D" w14:textId="77777777" w:rsidR="00692D71" w:rsidRDefault="00692D71"/>
  </w:footnote>
  <w:footnote w:id="2">
    <w:p w14:paraId="6377D73C" w14:textId="73EC18E9" w:rsidR="00C26E59" w:rsidRPr="00C26E59" w:rsidRDefault="00C26E59">
      <w:pPr>
        <w:pStyle w:val="FootnoteText"/>
        <w:rPr>
          <w:rFonts w:asciiTheme="minorHAnsi" w:hAnsiTheme="minorHAnsi" w:cstheme="minorHAnsi"/>
        </w:rPr>
      </w:pPr>
      <w:r w:rsidRPr="00C26E59">
        <w:rPr>
          <w:rStyle w:val="FootnoteReference"/>
          <w:rFonts w:asciiTheme="minorHAnsi" w:hAnsiTheme="minorHAnsi" w:cstheme="minorHAnsi"/>
        </w:rPr>
        <w:footnoteRef/>
      </w:r>
      <w:r w:rsidRPr="00C26E59">
        <w:rPr>
          <w:rFonts w:asciiTheme="minorHAnsi" w:hAnsiTheme="minorHAnsi" w:cstheme="minorHAnsi"/>
        </w:rPr>
        <w:t xml:space="preserve"> </w:t>
      </w:r>
      <w:hyperlink r:id="rId1" w:anchor="choosing-where-to-achieve-off-site-biodiversity-gains" w:history="1">
        <w:r w:rsidRPr="00C26E59">
          <w:rPr>
            <w:rStyle w:val="Hyperlink"/>
            <w:rFonts w:asciiTheme="minorHAnsi" w:hAnsiTheme="minorHAnsi" w:cstheme="minorHAnsi"/>
          </w:rPr>
          <w:t>https://www.gov.uk/guidance/make-off-site-biodiversity-gains-as-a-developer#choosing-where-to-achieve-off-site-biodiversity-gains</w:t>
        </w:r>
      </w:hyperlink>
      <w:r w:rsidRPr="00C26E59">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E011" w14:textId="77777777" w:rsidR="00E832F5" w:rsidRDefault="00E832F5">
    <w:pPr>
      <w:pStyle w:val="Header"/>
    </w:pPr>
    <w:r>
      <w:rPr>
        <w:noProof/>
        <w:lang w:eastAsia="en-GB"/>
      </w:rPr>
      <w:drawing>
        <wp:inline distT="0" distB="0" distL="0" distR="0" wp14:anchorId="5C7D34A7" wp14:editId="4A59E540">
          <wp:extent cx="144780" cy="152400"/>
          <wp:effectExtent l="0" t="0" r="7620" b="0"/>
          <wp:docPr id="405943704" name="Picture 405943704"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75BCA861" wp14:editId="6194932A">
          <wp:extent cx="144780" cy="152400"/>
          <wp:effectExtent l="0" t="0" r="7620" b="0"/>
          <wp:docPr id="1044454500" name="Picture 104445450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82F3C"/>
    <w:multiLevelType w:val="hybridMultilevel"/>
    <w:tmpl w:val="041C1B88"/>
    <w:lvl w:ilvl="0" w:tplc="08090011">
      <w:start w:val="3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E6FD5"/>
    <w:multiLevelType w:val="multilevel"/>
    <w:tmpl w:val="1FE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54670"/>
    <w:multiLevelType w:val="hybridMultilevel"/>
    <w:tmpl w:val="D35C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60E48"/>
    <w:multiLevelType w:val="hybridMultilevel"/>
    <w:tmpl w:val="02B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443FB"/>
    <w:multiLevelType w:val="hybridMultilevel"/>
    <w:tmpl w:val="4EBA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83B1C"/>
    <w:multiLevelType w:val="hybridMultilevel"/>
    <w:tmpl w:val="A07C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756388">
    <w:abstractNumId w:val="2"/>
  </w:num>
  <w:num w:numId="2" w16cid:durableId="762532627">
    <w:abstractNumId w:val="1"/>
  </w:num>
  <w:num w:numId="3" w16cid:durableId="1173840405">
    <w:abstractNumId w:val="0"/>
  </w:num>
  <w:num w:numId="4" w16cid:durableId="445124109">
    <w:abstractNumId w:val="3"/>
  </w:num>
  <w:num w:numId="5" w16cid:durableId="1439334113">
    <w:abstractNumId w:val="6"/>
  </w:num>
  <w:num w:numId="6" w16cid:durableId="115612154">
    <w:abstractNumId w:val="5"/>
  </w:num>
  <w:num w:numId="7" w16cid:durableId="1907758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3E8"/>
    <w:rsid w:val="00000FFE"/>
    <w:rsid w:val="000022AD"/>
    <w:rsid w:val="000048AB"/>
    <w:rsid w:val="00007153"/>
    <w:rsid w:val="00010A74"/>
    <w:rsid w:val="00012FE5"/>
    <w:rsid w:val="0001390A"/>
    <w:rsid w:val="00013A99"/>
    <w:rsid w:val="00014A74"/>
    <w:rsid w:val="000154EC"/>
    <w:rsid w:val="00015663"/>
    <w:rsid w:val="00020AFB"/>
    <w:rsid w:val="000216A6"/>
    <w:rsid w:val="00024E2E"/>
    <w:rsid w:val="00026901"/>
    <w:rsid w:val="00027786"/>
    <w:rsid w:val="00031A21"/>
    <w:rsid w:val="00034E8F"/>
    <w:rsid w:val="00035FB4"/>
    <w:rsid w:val="00047564"/>
    <w:rsid w:val="000530F6"/>
    <w:rsid w:val="0005592C"/>
    <w:rsid w:val="00061EDC"/>
    <w:rsid w:val="00062D2B"/>
    <w:rsid w:val="00063943"/>
    <w:rsid w:val="0006399C"/>
    <w:rsid w:val="00063EC5"/>
    <w:rsid w:val="000660B3"/>
    <w:rsid w:val="00075C3E"/>
    <w:rsid w:val="00081C5B"/>
    <w:rsid w:val="00082C40"/>
    <w:rsid w:val="00085E6D"/>
    <w:rsid w:val="00090466"/>
    <w:rsid w:val="000920B5"/>
    <w:rsid w:val="00094F2C"/>
    <w:rsid w:val="00096435"/>
    <w:rsid w:val="000A0412"/>
    <w:rsid w:val="000A1700"/>
    <w:rsid w:val="000A1D4D"/>
    <w:rsid w:val="000A3A38"/>
    <w:rsid w:val="000A45B0"/>
    <w:rsid w:val="000A6197"/>
    <w:rsid w:val="000A7BA8"/>
    <w:rsid w:val="000B00D8"/>
    <w:rsid w:val="000C0DC7"/>
    <w:rsid w:val="000C5F81"/>
    <w:rsid w:val="000C6974"/>
    <w:rsid w:val="000C6DB5"/>
    <w:rsid w:val="000C7078"/>
    <w:rsid w:val="000C7D68"/>
    <w:rsid w:val="000D5C14"/>
    <w:rsid w:val="000D71AC"/>
    <w:rsid w:val="000E242F"/>
    <w:rsid w:val="000E2CA0"/>
    <w:rsid w:val="000E4D34"/>
    <w:rsid w:val="000F1ECA"/>
    <w:rsid w:val="00101C1D"/>
    <w:rsid w:val="0010674F"/>
    <w:rsid w:val="001170BF"/>
    <w:rsid w:val="001376E1"/>
    <w:rsid w:val="00140835"/>
    <w:rsid w:val="00142375"/>
    <w:rsid w:val="00143F43"/>
    <w:rsid w:val="00150135"/>
    <w:rsid w:val="00150292"/>
    <w:rsid w:val="00151D31"/>
    <w:rsid w:val="00154B34"/>
    <w:rsid w:val="00155737"/>
    <w:rsid w:val="001627E8"/>
    <w:rsid w:val="001635F4"/>
    <w:rsid w:val="00165D4D"/>
    <w:rsid w:val="00170C1C"/>
    <w:rsid w:val="00171817"/>
    <w:rsid w:val="00172EA6"/>
    <w:rsid w:val="00194A21"/>
    <w:rsid w:val="00196A1D"/>
    <w:rsid w:val="001A165A"/>
    <w:rsid w:val="001A693A"/>
    <w:rsid w:val="001A7B4C"/>
    <w:rsid w:val="001B0D81"/>
    <w:rsid w:val="001B15B9"/>
    <w:rsid w:val="001B2420"/>
    <w:rsid w:val="001B2A10"/>
    <w:rsid w:val="001B3563"/>
    <w:rsid w:val="001B45ED"/>
    <w:rsid w:val="001C0A86"/>
    <w:rsid w:val="001C50CE"/>
    <w:rsid w:val="001C745C"/>
    <w:rsid w:val="001D58A9"/>
    <w:rsid w:val="001E1925"/>
    <w:rsid w:val="001E3E48"/>
    <w:rsid w:val="001E55C5"/>
    <w:rsid w:val="001E6E29"/>
    <w:rsid w:val="001F26E6"/>
    <w:rsid w:val="001F7ECE"/>
    <w:rsid w:val="00200CA3"/>
    <w:rsid w:val="00201D59"/>
    <w:rsid w:val="00205624"/>
    <w:rsid w:val="0020714E"/>
    <w:rsid w:val="00207523"/>
    <w:rsid w:val="0021106C"/>
    <w:rsid w:val="002129A4"/>
    <w:rsid w:val="00217A77"/>
    <w:rsid w:val="00220277"/>
    <w:rsid w:val="0022210E"/>
    <w:rsid w:val="002238F3"/>
    <w:rsid w:val="00224322"/>
    <w:rsid w:val="00224CEE"/>
    <w:rsid w:val="0023090A"/>
    <w:rsid w:val="00235149"/>
    <w:rsid w:val="0023571C"/>
    <w:rsid w:val="00236DB6"/>
    <w:rsid w:val="00250E37"/>
    <w:rsid w:val="002536B4"/>
    <w:rsid w:val="00257167"/>
    <w:rsid w:val="00260747"/>
    <w:rsid w:val="00262148"/>
    <w:rsid w:val="00266F95"/>
    <w:rsid w:val="00272578"/>
    <w:rsid w:val="0028352B"/>
    <w:rsid w:val="00294752"/>
    <w:rsid w:val="002A1136"/>
    <w:rsid w:val="002A1423"/>
    <w:rsid w:val="002A6FDD"/>
    <w:rsid w:val="002B0431"/>
    <w:rsid w:val="002B29C2"/>
    <w:rsid w:val="002B38FC"/>
    <w:rsid w:val="002C6051"/>
    <w:rsid w:val="002D7F32"/>
    <w:rsid w:val="002E35E9"/>
    <w:rsid w:val="002E5455"/>
    <w:rsid w:val="002F31C9"/>
    <w:rsid w:val="002F36F7"/>
    <w:rsid w:val="002F4215"/>
    <w:rsid w:val="00306698"/>
    <w:rsid w:val="00306D80"/>
    <w:rsid w:val="00307EBB"/>
    <w:rsid w:val="0031650F"/>
    <w:rsid w:val="003167E3"/>
    <w:rsid w:val="00320883"/>
    <w:rsid w:val="00325078"/>
    <w:rsid w:val="00325931"/>
    <w:rsid w:val="00326DFA"/>
    <w:rsid w:val="00327680"/>
    <w:rsid w:val="00327EB2"/>
    <w:rsid w:val="00337772"/>
    <w:rsid w:val="00340B0D"/>
    <w:rsid w:val="00342F7D"/>
    <w:rsid w:val="00343492"/>
    <w:rsid w:val="003470FE"/>
    <w:rsid w:val="003538DD"/>
    <w:rsid w:val="003633D8"/>
    <w:rsid w:val="00370834"/>
    <w:rsid w:val="00370C7B"/>
    <w:rsid w:val="00374781"/>
    <w:rsid w:val="00376E66"/>
    <w:rsid w:val="00383C6A"/>
    <w:rsid w:val="0038514E"/>
    <w:rsid w:val="00394C32"/>
    <w:rsid w:val="00397C77"/>
    <w:rsid w:val="003A5F18"/>
    <w:rsid w:val="003A73D4"/>
    <w:rsid w:val="003B3295"/>
    <w:rsid w:val="003B3ED0"/>
    <w:rsid w:val="003C26CF"/>
    <w:rsid w:val="003C3C7A"/>
    <w:rsid w:val="003D4BEE"/>
    <w:rsid w:val="003E057E"/>
    <w:rsid w:val="003E3958"/>
    <w:rsid w:val="003E40B4"/>
    <w:rsid w:val="003E5EFC"/>
    <w:rsid w:val="003F0626"/>
    <w:rsid w:val="003F5C3C"/>
    <w:rsid w:val="0040009D"/>
    <w:rsid w:val="0040081A"/>
    <w:rsid w:val="00401272"/>
    <w:rsid w:val="00402642"/>
    <w:rsid w:val="00403D97"/>
    <w:rsid w:val="0040444B"/>
    <w:rsid w:val="00407943"/>
    <w:rsid w:val="00412818"/>
    <w:rsid w:val="00414E6B"/>
    <w:rsid w:val="004171BA"/>
    <w:rsid w:val="00421C32"/>
    <w:rsid w:val="004222DF"/>
    <w:rsid w:val="00422AAB"/>
    <w:rsid w:val="0042322C"/>
    <w:rsid w:val="0042406E"/>
    <w:rsid w:val="00435AC5"/>
    <w:rsid w:val="0043758A"/>
    <w:rsid w:val="00440885"/>
    <w:rsid w:val="00440A6F"/>
    <w:rsid w:val="00442566"/>
    <w:rsid w:val="004519F6"/>
    <w:rsid w:val="0045633C"/>
    <w:rsid w:val="0046271F"/>
    <w:rsid w:val="00462D67"/>
    <w:rsid w:val="0046493B"/>
    <w:rsid w:val="00467F7F"/>
    <w:rsid w:val="004745C4"/>
    <w:rsid w:val="00481913"/>
    <w:rsid w:val="004840F6"/>
    <w:rsid w:val="004870C3"/>
    <w:rsid w:val="00490372"/>
    <w:rsid w:val="00492091"/>
    <w:rsid w:val="00492D84"/>
    <w:rsid w:val="00497C24"/>
    <w:rsid w:val="004A38D1"/>
    <w:rsid w:val="004A5E68"/>
    <w:rsid w:val="004A75C8"/>
    <w:rsid w:val="004A788A"/>
    <w:rsid w:val="004B5FEF"/>
    <w:rsid w:val="004B6C93"/>
    <w:rsid w:val="004C23B3"/>
    <w:rsid w:val="004C29AD"/>
    <w:rsid w:val="004D1FDC"/>
    <w:rsid w:val="004D60E1"/>
    <w:rsid w:val="004D772F"/>
    <w:rsid w:val="004E2A6A"/>
    <w:rsid w:val="004E4115"/>
    <w:rsid w:val="004E5D05"/>
    <w:rsid w:val="004F0DE2"/>
    <w:rsid w:val="004F48B2"/>
    <w:rsid w:val="004F5662"/>
    <w:rsid w:val="004F572A"/>
    <w:rsid w:val="004F6160"/>
    <w:rsid w:val="00506AE1"/>
    <w:rsid w:val="0050742E"/>
    <w:rsid w:val="0051595C"/>
    <w:rsid w:val="005176CA"/>
    <w:rsid w:val="00524DCB"/>
    <w:rsid w:val="00527EF2"/>
    <w:rsid w:val="00531852"/>
    <w:rsid w:val="00531B28"/>
    <w:rsid w:val="005320A9"/>
    <w:rsid w:val="00533FC7"/>
    <w:rsid w:val="005508A0"/>
    <w:rsid w:val="00550A5E"/>
    <w:rsid w:val="00551C9A"/>
    <w:rsid w:val="005530CC"/>
    <w:rsid w:val="005543A5"/>
    <w:rsid w:val="00556B37"/>
    <w:rsid w:val="005645D3"/>
    <w:rsid w:val="005655B1"/>
    <w:rsid w:val="00566662"/>
    <w:rsid w:val="00570E16"/>
    <w:rsid w:val="00571FAC"/>
    <w:rsid w:val="005721FC"/>
    <w:rsid w:val="005805FA"/>
    <w:rsid w:val="00585045"/>
    <w:rsid w:val="005865A9"/>
    <w:rsid w:val="00593466"/>
    <w:rsid w:val="0059411A"/>
    <w:rsid w:val="005962A6"/>
    <w:rsid w:val="005A056A"/>
    <w:rsid w:val="005A3FE9"/>
    <w:rsid w:val="005A4DCD"/>
    <w:rsid w:val="005A5CBD"/>
    <w:rsid w:val="005A6C91"/>
    <w:rsid w:val="005A72D5"/>
    <w:rsid w:val="005A74B0"/>
    <w:rsid w:val="005E1CD7"/>
    <w:rsid w:val="005E39E2"/>
    <w:rsid w:val="005E526E"/>
    <w:rsid w:val="005E763C"/>
    <w:rsid w:val="005F2298"/>
    <w:rsid w:val="005F3E40"/>
    <w:rsid w:val="005F4C2A"/>
    <w:rsid w:val="00607CD6"/>
    <w:rsid w:val="0061076B"/>
    <w:rsid w:val="006172B7"/>
    <w:rsid w:val="00617983"/>
    <w:rsid w:val="00617F8D"/>
    <w:rsid w:val="00630EC9"/>
    <w:rsid w:val="00631BC7"/>
    <w:rsid w:val="00635B7D"/>
    <w:rsid w:val="006363BB"/>
    <w:rsid w:val="006407EA"/>
    <w:rsid w:val="00644419"/>
    <w:rsid w:val="006450F3"/>
    <w:rsid w:val="00647CE6"/>
    <w:rsid w:val="00650C3B"/>
    <w:rsid w:val="0065169E"/>
    <w:rsid w:val="006548E3"/>
    <w:rsid w:val="006569DA"/>
    <w:rsid w:val="006602FE"/>
    <w:rsid w:val="006603C3"/>
    <w:rsid w:val="006618F4"/>
    <w:rsid w:val="00663E58"/>
    <w:rsid w:val="00663F0D"/>
    <w:rsid w:val="00665DE9"/>
    <w:rsid w:val="00666108"/>
    <w:rsid w:val="00666C8F"/>
    <w:rsid w:val="00672D73"/>
    <w:rsid w:val="00676CC1"/>
    <w:rsid w:val="006808E9"/>
    <w:rsid w:val="00682CF5"/>
    <w:rsid w:val="00685424"/>
    <w:rsid w:val="006855A4"/>
    <w:rsid w:val="00685EA6"/>
    <w:rsid w:val="00691181"/>
    <w:rsid w:val="006916A6"/>
    <w:rsid w:val="00692D71"/>
    <w:rsid w:val="00693919"/>
    <w:rsid w:val="006967CC"/>
    <w:rsid w:val="006A1CA2"/>
    <w:rsid w:val="006A5041"/>
    <w:rsid w:val="006A5D67"/>
    <w:rsid w:val="006B3D12"/>
    <w:rsid w:val="006B7688"/>
    <w:rsid w:val="006C366D"/>
    <w:rsid w:val="006D0C0A"/>
    <w:rsid w:val="006D1D11"/>
    <w:rsid w:val="006D2DF0"/>
    <w:rsid w:val="006D33AA"/>
    <w:rsid w:val="006D461D"/>
    <w:rsid w:val="006E0731"/>
    <w:rsid w:val="006E1497"/>
    <w:rsid w:val="00701C3F"/>
    <w:rsid w:val="00703CEE"/>
    <w:rsid w:val="00705057"/>
    <w:rsid w:val="0070580C"/>
    <w:rsid w:val="007111E6"/>
    <w:rsid w:val="0071139C"/>
    <w:rsid w:val="00713581"/>
    <w:rsid w:val="00713E0F"/>
    <w:rsid w:val="00714045"/>
    <w:rsid w:val="007164EF"/>
    <w:rsid w:val="007208DA"/>
    <w:rsid w:val="007212F8"/>
    <w:rsid w:val="00722FA3"/>
    <w:rsid w:val="007251DB"/>
    <w:rsid w:val="00727D2B"/>
    <w:rsid w:val="00730638"/>
    <w:rsid w:val="00735167"/>
    <w:rsid w:val="00740F09"/>
    <w:rsid w:val="007440F0"/>
    <w:rsid w:val="00746DFF"/>
    <w:rsid w:val="007512DF"/>
    <w:rsid w:val="00753212"/>
    <w:rsid w:val="00764921"/>
    <w:rsid w:val="007664A0"/>
    <w:rsid w:val="0077463A"/>
    <w:rsid w:val="007746A7"/>
    <w:rsid w:val="0077634F"/>
    <w:rsid w:val="007767A7"/>
    <w:rsid w:val="007805DC"/>
    <w:rsid w:val="007814C3"/>
    <w:rsid w:val="00782510"/>
    <w:rsid w:val="00782FAA"/>
    <w:rsid w:val="0078369E"/>
    <w:rsid w:val="00783F76"/>
    <w:rsid w:val="00784F5E"/>
    <w:rsid w:val="007915E4"/>
    <w:rsid w:val="00793017"/>
    <w:rsid w:val="007A160F"/>
    <w:rsid w:val="007A1B33"/>
    <w:rsid w:val="007A2B6C"/>
    <w:rsid w:val="007A3A1A"/>
    <w:rsid w:val="007A58BF"/>
    <w:rsid w:val="007A650B"/>
    <w:rsid w:val="007B2381"/>
    <w:rsid w:val="007B6196"/>
    <w:rsid w:val="007B6F2F"/>
    <w:rsid w:val="007C1497"/>
    <w:rsid w:val="007C7601"/>
    <w:rsid w:val="007D027F"/>
    <w:rsid w:val="007D0482"/>
    <w:rsid w:val="007D2C0C"/>
    <w:rsid w:val="007D2ED3"/>
    <w:rsid w:val="007D425F"/>
    <w:rsid w:val="007D5692"/>
    <w:rsid w:val="007E2B51"/>
    <w:rsid w:val="007E3517"/>
    <w:rsid w:val="007E66C8"/>
    <w:rsid w:val="007E7E4C"/>
    <w:rsid w:val="0080424B"/>
    <w:rsid w:val="00804FB0"/>
    <w:rsid w:val="00807EB2"/>
    <w:rsid w:val="00811A54"/>
    <w:rsid w:val="00816BB3"/>
    <w:rsid w:val="0082070A"/>
    <w:rsid w:val="00822564"/>
    <w:rsid w:val="008367BD"/>
    <w:rsid w:val="00837E13"/>
    <w:rsid w:val="00841A85"/>
    <w:rsid w:val="008446C6"/>
    <w:rsid w:val="008531D0"/>
    <w:rsid w:val="008555ED"/>
    <w:rsid w:val="00870419"/>
    <w:rsid w:val="00871694"/>
    <w:rsid w:val="00876558"/>
    <w:rsid w:val="00877B78"/>
    <w:rsid w:val="008821CC"/>
    <w:rsid w:val="008850B5"/>
    <w:rsid w:val="008861EC"/>
    <w:rsid w:val="00886660"/>
    <w:rsid w:val="008909A3"/>
    <w:rsid w:val="008929E0"/>
    <w:rsid w:val="008A3B77"/>
    <w:rsid w:val="008A3E39"/>
    <w:rsid w:val="008A4A79"/>
    <w:rsid w:val="008B2B17"/>
    <w:rsid w:val="008B4B39"/>
    <w:rsid w:val="008B527A"/>
    <w:rsid w:val="008C51A0"/>
    <w:rsid w:val="008C5C94"/>
    <w:rsid w:val="008C7B5C"/>
    <w:rsid w:val="008D44CB"/>
    <w:rsid w:val="008D498B"/>
    <w:rsid w:val="008D7FE7"/>
    <w:rsid w:val="008E107F"/>
    <w:rsid w:val="008F14EF"/>
    <w:rsid w:val="008F1597"/>
    <w:rsid w:val="008F2ED8"/>
    <w:rsid w:val="008F7AB3"/>
    <w:rsid w:val="00901C9C"/>
    <w:rsid w:val="00902944"/>
    <w:rsid w:val="00903841"/>
    <w:rsid w:val="00905236"/>
    <w:rsid w:val="009058C1"/>
    <w:rsid w:val="009078BF"/>
    <w:rsid w:val="00914354"/>
    <w:rsid w:val="009226C4"/>
    <w:rsid w:val="00926C49"/>
    <w:rsid w:val="00930360"/>
    <w:rsid w:val="00934545"/>
    <w:rsid w:val="00946500"/>
    <w:rsid w:val="009468EB"/>
    <w:rsid w:val="0095603B"/>
    <w:rsid w:val="0095725E"/>
    <w:rsid w:val="009576B7"/>
    <w:rsid w:val="009617C0"/>
    <w:rsid w:val="00964E43"/>
    <w:rsid w:val="00965C9B"/>
    <w:rsid w:val="009674CC"/>
    <w:rsid w:val="00973528"/>
    <w:rsid w:val="00973D74"/>
    <w:rsid w:val="00976297"/>
    <w:rsid w:val="00980D4A"/>
    <w:rsid w:val="00983D20"/>
    <w:rsid w:val="009844A1"/>
    <w:rsid w:val="00984EA0"/>
    <w:rsid w:val="0098639F"/>
    <w:rsid w:val="00990076"/>
    <w:rsid w:val="00992C4D"/>
    <w:rsid w:val="0099315B"/>
    <w:rsid w:val="0099375E"/>
    <w:rsid w:val="0099469E"/>
    <w:rsid w:val="00994AAA"/>
    <w:rsid w:val="00996D78"/>
    <w:rsid w:val="009A2BAA"/>
    <w:rsid w:val="009A3115"/>
    <w:rsid w:val="009A550B"/>
    <w:rsid w:val="009A67DF"/>
    <w:rsid w:val="009B0793"/>
    <w:rsid w:val="009B1AD6"/>
    <w:rsid w:val="009B20E8"/>
    <w:rsid w:val="009B2435"/>
    <w:rsid w:val="009C726C"/>
    <w:rsid w:val="009D0C19"/>
    <w:rsid w:val="009D0CDD"/>
    <w:rsid w:val="009D24EF"/>
    <w:rsid w:val="009D3483"/>
    <w:rsid w:val="009D3E5B"/>
    <w:rsid w:val="009D47A1"/>
    <w:rsid w:val="009D51A3"/>
    <w:rsid w:val="009E1725"/>
    <w:rsid w:val="009E1945"/>
    <w:rsid w:val="009E7122"/>
    <w:rsid w:val="009F0ECE"/>
    <w:rsid w:val="009F3C31"/>
    <w:rsid w:val="009F4E0E"/>
    <w:rsid w:val="00A00E75"/>
    <w:rsid w:val="00A03716"/>
    <w:rsid w:val="00A11B1F"/>
    <w:rsid w:val="00A14B5D"/>
    <w:rsid w:val="00A2301B"/>
    <w:rsid w:val="00A40E09"/>
    <w:rsid w:val="00A40F42"/>
    <w:rsid w:val="00A44322"/>
    <w:rsid w:val="00A51C5E"/>
    <w:rsid w:val="00A530E9"/>
    <w:rsid w:val="00A6394A"/>
    <w:rsid w:val="00A6630E"/>
    <w:rsid w:val="00A66DB2"/>
    <w:rsid w:val="00A66ED2"/>
    <w:rsid w:val="00A678F7"/>
    <w:rsid w:val="00A723EB"/>
    <w:rsid w:val="00A75F68"/>
    <w:rsid w:val="00A8299B"/>
    <w:rsid w:val="00A83869"/>
    <w:rsid w:val="00A84B2C"/>
    <w:rsid w:val="00A86552"/>
    <w:rsid w:val="00A866ED"/>
    <w:rsid w:val="00A9030A"/>
    <w:rsid w:val="00A96060"/>
    <w:rsid w:val="00A9697B"/>
    <w:rsid w:val="00A97556"/>
    <w:rsid w:val="00A9790F"/>
    <w:rsid w:val="00AA320C"/>
    <w:rsid w:val="00AA7FF3"/>
    <w:rsid w:val="00AB2290"/>
    <w:rsid w:val="00AB34F4"/>
    <w:rsid w:val="00AB3D46"/>
    <w:rsid w:val="00AC0C00"/>
    <w:rsid w:val="00AC0CE1"/>
    <w:rsid w:val="00AC1E5D"/>
    <w:rsid w:val="00AC4011"/>
    <w:rsid w:val="00AC4962"/>
    <w:rsid w:val="00AC4AF0"/>
    <w:rsid w:val="00AD078C"/>
    <w:rsid w:val="00AD5DBC"/>
    <w:rsid w:val="00AD6C95"/>
    <w:rsid w:val="00AD6E62"/>
    <w:rsid w:val="00AE064A"/>
    <w:rsid w:val="00AE0ADA"/>
    <w:rsid w:val="00AE1153"/>
    <w:rsid w:val="00AF3F6A"/>
    <w:rsid w:val="00AF6ECD"/>
    <w:rsid w:val="00AF6F29"/>
    <w:rsid w:val="00B02278"/>
    <w:rsid w:val="00B06916"/>
    <w:rsid w:val="00B06B94"/>
    <w:rsid w:val="00B11533"/>
    <w:rsid w:val="00B1453C"/>
    <w:rsid w:val="00B159F0"/>
    <w:rsid w:val="00B165F9"/>
    <w:rsid w:val="00B16B44"/>
    <w:rsid w:val="00B24A7F"/>
    <w:rsid w:val="00B271F9"/>
    <w:rsid w:val="00B31CAD"/>
    <w:rsid w:val="00B3406C"/>
    <w:rsid w:val="00B4206B"/>
    <w:rsid w:val="00B45541"/>
    <w:rsid w:val="00B46E5D"/>
    <w:rsid w:val="00B5056E"/>
    <w:rsid w:val="00B5791E"/>
    <w:rsid w:val="00B71A6E"/>
    <w:rsid w:val="00B72C39"/>
    <w:rsid w:val="00B7635C"/>
    <w:rsid w:val="00B76E65"/>
    <w:rsid w:val="00B81BE0"/>
    <w:rsid w:val="00B84F6A"/>
    <w:rsid w:val="00B8774C"/>
    <w:rsid w:val="00B9137E"/>
    <w:rsid w:val="00B934C0"/>
    <w:rsid w:val="00B942FA"/>
    <w:rsid w:val="00B9542D"/>
    <w:rsid w:val="00B9613F"/>
    <w:rsid w:val="00B96A0E"/>
    <w:rsid w:val="00BA32E6"/>
    <w:rsid w:val="00BA5307"/>
    <w:rsid w:val="00BA55EA"/>
    <w:rsid w:val="00BA5C57"/>
    <w:rsid w:val="00BA62D7"/>
    <w:rsid w:val="00BB4011"/>
    <w:rsid w:val="00BB7FFE"/>
    <w:rsid w:val="00BC12A4"/>
    <w:rsid w:val="00BC6B5A"/>
    <w:rsid w:val="00BD4F4B"/>
    <w:rsid w:val="00BD6ED9"/>
    <w:rsid w:val="00BE250A"/>
    <w:rsid w:val="00BE6490"/>
    <w:rsid w:val="00BE675F"/>
    <w:rsid w:val="00BF0875"/>
    <w:rsid w:val="00BF5818"/>
    <w:rsid w:val="00C0188E"/>
    <w:rsid w:val="00C04119"/>
    <w:rsid w:val="00C05A4D"/>
    <w:rsid w:val="00C111AE"/>
    <w:rsid w:val="00C1305D"/>
    <w:rsid w:val="00C135BD"/>
    <w:rsid w:val="00C13FA3"/>
    <w:rsid w:val="00C14851"/>
    <w:rsid w:val="00C163D7"/>
    <w:rsid w:val="00C170DC"/>
    <w:rsid w:val="00C22D58"/>
    <w:rsid w:val="00C267A3"/>
    <w:rsid w:val="00C26E59"/>
    <w:rsid w:val="00C3501C"/>
    <w:rsid w:val="00C3710F"/>
    <w:rsid w:val="00C417F1"/>
    <w:rsid w:val="00C432A6"/>
    <w:rsid w:val="00C43C51"/>
    <w:rsid w:val="00C44A22"/>
    <w:rsid w:val="00C46807"/>
    <w:rsid w:val="00C46904"/>
    <w:rsid w:val="00C503C2"/>
    <w:rsid w:val="00C544E2"/>
    <w:rsid w:val="00C57157"/>
    <w:rsid w:val="00C6286E"/>
    <w:rsid w:val="00C66932"/>
    <w:rsid w:val="00C74C11"/>
    <w:rsid w:val="00C75D7C"/>
    <w:rsid w:val="00C80E19"/>
    <w:rsid w:val="00C84F1E"/>
    <w:rsid w:val="00C850E1"/>
    <w:rsid w:val="00C90C21"/>
    <w:rsid w:val="00C92459"/>
    <w:rsid w:val="00C92475"/>
    <w:rsid w:val="00CA1183"/>
    <w:rsid w:val="00CA121E"/>
    <w:rsid w:val="00CA5336"/>
    <w:rsid w:val="00CA5C92"/>
    <w:rsid w:val="00CA6D75"/>
    <w:rsid w:val="00CA779D"/>
    <w:rsid w:val="00CB1EAF"/>
    <w:rsid w:val="00CC3173"/>
    <w:rsid w:val="00CC3CA4"/>
    <w:rsid w:val="00CC69FD"/>
    <w:rsid w:val="00CD00EC"/>
    <w:rsid w:val="00CE0033"/>
    <w:rsid w:val="00CE103B"/>
    <w:rsid w:val="00CF2BEA"/>
    <w:rsid w:val="00CF4966"/>
    <w:rsid w:val="00D0431B"/>
    <w:rsid w:val="00D052C7"/>
    <w:rsid w:val="00D06B5A"/>
    <w:rsid w:val="00D07DD6"/>
    <w:rsid w:val="00D11CF7"/>
    <w:rsid w:val="00D12227"/>
    <w:rsid w:val="00D1294E"/>
    <w:rsid w:val="00D13A37"/>
    <w:rsid w:val="00D21C18"/>
    <w:rsid w:val="00D24632"/>
    <w:rsid w:val="00D30A45"/>
    <w:rsid w:val="00D31D82"/>
    <w:rsid w:val="00D33AD2"/>
    <w:rsid w:val="00D35F91"/>
    <w:rsid w:val="00D36B65"/>
    <w:rsid w:val="00D37033"/>
    <w:rsid w:val="00D401CE"/>
    <w:rsid w:val="00D41BB7"/>
    <w:rsid w:val="00D45F32"/>
    <w:rsid w:val="00D46889"/>
    <w:rsid w:val="00D47CBD"/>
    <w:rsid w:val="00D47FA4"/>
    <w:rsid w:val="00D52874"/>
    <w:rsid w:val="00D57362"/>
    <w:rsid w:val="00D5772B"/>
    <w:rsid w:val="00D6456E"/>
    <w:rsid w:val="00D64C03"/>
    <w:rsid w:val="00D750FF"/>
    <w:rsid w:val="00D82BC4"/>
    <w:rsid w:val="00D84EF4"/>
    <w:rsid w:val="00D85E99"/>
    <w:rsid w:val="00D87183"/>
    <w:rsid w:val="00D906ED"/>
    <w:rsid w:val="00D90849"/>
    <w:rsid w:val="00D914AF"/>
    <w:rsid w:val="00D92DC4"/>
    <w:rsid w:val="00DA0A58"/>
    <w:rsid w:val="00DA2C83"/>
    <w:rsid w:val="00DA306B"/>
    <w:rsid w:val="00DA4727"/>
    <w:rsid w:val="00DA5C01"/>
    <w:rsid w:val="00DB1F16"/>
    <w:rsid w:val="00DB20F7"/>
    <w:rsid w:val="00DC36E7"/>
    <w:rsid w:val="00DD3BD2"/>
    <w:rsid w:val="00DD6448"/>
    <w:rsid w:val="00DE1AA5"/>
    <w:rsid w:val="00DE5297"/>
    <w:rsid w:val="00DE7654"/>
    <w:rsid w:val="00DF37C7"/>
    <w:rsid w:val="00E02048"/>
    <w:rsid w:val="00E03264"/>
    <w:rsid w:val="00E05049"/>
    <w:rsid w:val="00E10AB1"/>
    <w:rsid w:val="00E1133B"/>
    <w:rsid w:val="00E12154"/>
    <w:rsid w:val="00E1228F"/>
    <w:rsid w:val="00E1356B"/>
    <w:rsid w:val="00E139EB"/>
    <w:rsid w:val="00E16756"/>
    <w:rsid w:val="00E2020D"/>
    <w:rsid w:val="00E211B7"/>
    <w:rsid w:val="00E227E7"/>
    <w:rsid w:val="00E27756"/>
    <w:rsid w:val="00E27EF5"/>
    <w:rsid w:val="00E30F92"/>
    <w:rsid w:val="00E332E5"/>
    <w:rsid w:val="00E338AE"/>
    <w:rsid w:val="00E37F00"/>
    <w:rsid w:val="00E470E6"/>
    <w:rsid w:val="00E52118"/>
    <w:rsid w:val="00E550FE"/>
    <w:rsid w:val="00E61D11"/>
    <w:rsid w:val="00E63E48"/>
    <w:rsid w:val="00E7324E"/>
    <w:rsid w:val="00E832F5"/>
    <w:rsid w:val="00E850D5"/>
    <w:rsid w:val="00E8576C"/>
    <w:rsid w:val="00E86085"/>
    <w:rsid w:val="00E86B81"/>
    <w:rsid w:val="00E93D8F"/>
    <w:rsid w:val="00E96D74"/>
    <w:rsid w:val="00EA0A20"/>
    <w:rsid w:val="00EA4B5C"/>
    <w:rsid w:val="00EA5478"/>
    <w:rsid w:val="00EA5500"/>
    <w:rsid w:val="00EA70F1"/>
    <w:rsid w:val="00EA729C"/>
    <w:rsid w:val="00EB5907"/>
    <w:rsid w:val="00EB5F41"/>
    <w:rsid w:val="00EC0B3B"/>
    <w:rsid w:val="00EC426D"/>
    <w:rsid w:val="00EC5E23"/>
    <w:rsid w:val="00EC701B"/>
    <w:rsid w:val="00ED004A"/>
    <w:rsid w:val="00ED25D5"/>
    <w:rsid w:val="00ED7744"/>
    <w:rsid w:val="00ED7FF4"/>
    <w:rsid w:val="00EE0C87"/>
    <w:rsid w:val="00EE15C6"/>
    <w:rsid w:val="00EE17C0"/>
    <w:rsid w:val="00EE5FDC"/>
    <w:rsid w:val="00EE6716"/>
    <w:rsid w:val="00EF0E84"/>
    <w:rsid w:val="00EF27A2"/>
    <w:rsid w:val="00F00265"/>
    <w:rsid w:val="00F006EF"/>
    <w:rsid w:val="00F02BB2"/>
    <w:rsid w:val="00F05B24"/>
    <w:rsid w:val="00F11F36"/>
    <w:rsid w:val="00F140E3"/>
    <w:rsid w:val="00F2070E"/>
    <w:rsid w:val="00F20C5C"/>
    <w:rsid w:val="00F25E35"/>
    <w:rsid w:val="00F268DE"/>
    <w:rsid w:val="00F337F5"/>
    <w:rsid w:val="00F353DE"/>
    <w:rsid w:val="00F37C9D"/>
    <w:rsid w:val="00F4648E"/>
    <w:rsid w:val="00F47EB6"/>
    <w:rsid w:val="00F656E1"/>
    <w:rsid w:val="00F65CD7"/>
    <w:rsid w:val="00F67C5D"/>
    <w:rsid w:val="00F67C8A"/>
    <w:rsid w:val="00F705D5"/>
    <w:rsid w:val="00F715D1"/>
    <w:rsid w:val="00F74C8E"/>
    <w:rsid w:val="00F87260"/>
    <w:rsid w:val="00F91CE4"/>
    <w:rsid w:val="00F92EFB"/>
    <w:rsid w:val="00F93E16"/>
    <w:rsid w:val="00F940FA"/>
    <w:rsid w:val="00F96A66"/>
    <w:rsid w:val="00F96BF0"/>
    <w:rsid w:val="00FA26EF"/>
    <w:rsid w:val="00FA63DA"/>
    <w:rsid w:val="00FA7615"/>
    <w:rsid w:val="00FA7C65"/>
    <w:rsid w:val="00FB2AB0"/>
    <w:rsid w:val="00FB4679"/>
    <w:rsid w:val="00FB4FC0"/>
    <w:rsid w:val="00FB7DCC"/>
    <w:rsid w:val="00FC194F"/>
    <w:rsid w:val="00FD04BD"/>
    <w:rsid w:val="00FD2EDB"/>
    <w:rsid w:val="00FD433B"/>
    <w:rsid w:val="00FD765E"/>
    <w:rsid w:val="00FE2FD4"/>
    <w:rsid w:val="00FE4EA2"/>
    <w:rsid w:val="00FE5E8C"/>
    <w:rsid w:val="00FE75D7"/>
    <w:rsid w:val="00FF09F2"/>
    <w:rsid w:val="00FF16C6"/>
    <w:rsid w:val="00FF2553"/>
    <w:rsid w:val="00FF3229"/>
    <w:rsid w:val="00FF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0F4C"/>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B06916"/>
  </w:style>
  <w:style w:type="character" w:customStyle="1" w:styleId="FootnoteTextChar">
    <w:name w:val="Footnote Text Char"/>
    <w:basedOn w:val="DefaultParagraphFont"/>
    <w:link w:val="FootnoteText"/>
    <w:uiPriority w:val="99"/>
    <w:semiHidden/>
    <w:rsid w:val="00B06916"/>
    <w:rPr>
      <w:lang w:eastAsia="en-US"/>
    </w:rPr>
  </w:style>
  <w:style w:type="character" w:styleId="FootnoteReference">
    <w:name w:val="footnote reference"/>
    <w:basedOn w:val="DefaultParagraphFont"/>
    <w:uiPriority w:val="99"/>
    <w:semiHidden/>
    <w:unhideWhenUsed/>
    <w:rsid w:val="00B06916"/>
    <w:rPr>
      <w:vertAlign w:val="superscript"/>
    </w:rPr>
  </w:style>
  <w:style w:type="character" w:styleId="UnresolvedMention">
    <w:name w:val="Unresolved Mention"/>
    <w:basedOn w:val="DefaultParagraphFont"/>
    <w:uiPriority w:val="99"/>
    <w:semiHidden/>
    <w:unhideWhenUsed/>
    <w:rsid w:val="004D60E1"/>
    <w:rPr>
      <w:color w:val="605E5C"/>
      <w:shd w:val="clear" w:color="auto" w:fill="E1DFDD"/>
    </w:rPr>
  </w:style>
  <w:style w:type="paragraph" w:customStyle="1" w:styleId="Default">
    <w:name w:val="Default"/>
    <w:rsid w:val="00A14B5D"/>
    <w:pPr>
      <w:autoSpaceDE w:val="0"/>
      <w:autoSpaceDN w:val="0"/>
      <w:adjustRightInd w:val="0"/>
    </w:pPr>
    <w:rPr>
      <w:rFonts w:ascii="Arial" w:eastAsiaTheme="minorHAnsi" w:hAnsi="Arial" w:cs="Arial"/>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60078">
      <w:bodyDiv w:val="1"/>
      <w:marLeft w:val="0"/>
      <w:marRight w:val="0"/>
      <w:marTop w:val="0"/>
      <w:marBottom w:val="0"/>
      <w:divBdr>
        <w:top w:val="none" w:sz="0" w:space="0" w:color="auto"/>
        <w:left w:val="none" w:sz="0" w:space="0" w:color="auto"/>
        <w:bottom w:val="none" w:sz="0" w:space="0" w:color="auto"/>
        <w:right w:val="none" w:sz="0" w:space="0" w:color="auto"/>
      </w:divBdr>
    </w:div>
    <w:div w:id="96635273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make-off-site-biodiversity-gains-as-a-develop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0239E-831B-4D6B-AD25-D6F7611B5B56}">
  <ds:schemaRefs>
    <ds:schemaRef ds:uri="http://schemas.openxmlformats.org/officeDocument/2006/bibliography"/>
  </ds:schemaRefs>
</ds:datastoreItem>
</file>

<file path=customXml/itemProps2.xml><?xml version="1.0" encoding="utf-8"?>
<ds:datastoreItem xmlns:ds="http://schemas.openxmlformats.org/officeDocument/2006/customXml" ds:itemID="{ED827FC6-D497-4C6D-BC52-C30E79BF161D}">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3.xml><?xml version="1.0" encoding="utf-8"?>
<ds:datastoreItem xmlns:ds="http://schemas.openxmlformats.org/officeDocument/2006/customXml" ds:itemID="{8AF7E251-6306-4F99-9FD5-97C22256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CAB16-019B-473D-9834-81FB688D6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20</Pages>
  <Words>5468</Words>
  <Characters>31172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36567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624</cp:revision>
  <cp:lastPrinted>2018-10-05T08:06:00Z</cp:lastPrinted>
  <dcterms:created xsi:type="dcterms:W3CDTF">2024-08-30T13:00:00Z</dcterms:created>
  <dcterms:modified xsi:type="dcterms:W3CDTF">2024-09-10T14:53:00Z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14120200</vt:r8>
  </property>
  <property fmtid="{D5CDD505-2E9C-101B-9397-08002B2CF9AE}" pid="4" name="MediaServiceImageTags">
    <vt:lpwstr/>
  </property>
</Properties>
</file>